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353535"/>
          <w:spacing w:val="0"/>
          <w:sz w:val="21"/>
          <w:szCs w:val="21"/>
        </w:rPr>
      </w:pPr>
      <w:bookmarkStart w:id="0" w:name="_GoBack"/>
      <w:r>
        <w:rPr>
          <w:rFonts w:ascii="方正小标宋简体" w:hAnsi="方正小标宋简体" w:eastAsia="方正小标宋简体" w:cs="方正小标宋简体"/>
          <w:b/>
          <w:bCs/>
          <w:i w:val="0"/>
          <w:iCs w:val="0"/>
          <w:caps w:val="0"/>
          <w:color w:val="353535"/>
          <w:spacing w:val="0"/>
          <w:sz w:val="43"/>
          <w:szCs w:val="43"/>
          <w:bdr w:val="none" w:color="auto" w:sz="0" w:space="0"/>
          <w:shd w:val="clear" w:fill="FFFFFF"/>
        </w:rPr>
        <w:t>关于转发鲁医保发〔</w:t>
      </w:r>
      <w:r>
        <w:rPr>
          <w:rFonts w:hint="default" w:ascii="Times New Roman" w:hAnsi="Times New Roman" w:eastAsia="方正小标宋简体" w:cs="Times New Roman"/>
          <w:b/>
          <w:bCs/>
          <w:i w:val="0"/>
          <w:iCs w:val="0"/>
          <w:caps w:val="0"/>
          <w:color w:val="353535"/>
          <w:spacing w:val="0"/>
          <w:sz w:val="43"/>
          <w:szCs w:val="43"/>
          <w:bdr w:val="none" w:color="auto" w:sz="0" w:space="0"/>
          <w:shd w:val="clear" w:fill="FFFFFF"/>
        </w:rPr>
        <w:t>2023</w:t>
      </w:r>
      <w:r>
        <w:rPr>
          <w:rFonts w:hint="eastAsia" w:ascii="方正小标宋简体" w:hAnsi="方正小标宋简体" w:eastAsia="方正小标宋简体" w:cs="方正小标宋简体"/>
          <w:b/>
          <w:bCs/>
          <w:i w:val="0"/>
          <w:iCs w:val="0"/>
          <w:caps w:val="0"/>
          <w:color w:val="353535"/>
          <w:spacing w:val="0"/>
          <w:sz w:val="43"/>
          <w:szCs w:val="43"/>
          <w:bdr w:val="none" w:color="auto" w:sz="0" w:space="0"/>
          <w:shd w:val="clear" w:fill="FFFFFF"/>
        </w:rPr>
        <w:t>〕</w:t>
      </w:r>
      <w:r>
        <w:rPr>
          <w:rFonts w:hint="default" w:ascii="Times New Roman" w:hAnsi="Times New Roman" w:eastAsia="方正小标宋简体" w:cs="Times New Roman"/>
          <w:b/>
          <w:bCs/>
          <w:i w:val="0"/>
          <w:iCs w:val="0"/>
          <w:caps w:val="0"/>
          <w:color w:val="353535"/>
          <w:spacing w:val="0"/>
          <w:sz w:val="43"/>
          <w:szCs w:val="43"/>
          <w:bdr w:val="none" w:color="auto" w:sz="0" w:space="0"/>
          <w:shd w:val="clear" w:fill="FFFFFF"/>
        </w:rPr>
        <w:t>36</w:t>
      </w:r>
      <w:r>
        <w:rPr>
          <w:rFonts w:hint="eastAsia" w:ascii="方正小标宋简体" w:hAnsi="方正小标宋简体" w:eastAsia="方正小标宋简体" w:cs="方正小标宋简体"/>
          <w:b/>
          <w:bCs/>
          <w:i w:val="0"/>
          <w:iCs w:val="0"/>
          <w:caps w:val="0"/>
          <w:color w:val="353535"/>
          <w:spacing w:val="0"/>
          <w:sz w:val="43"/>
          <w:szCs w:val="43"/>
          <w:bdr w:val="none" w:color="auto" w:sz="0" w:space="0"/>
          <w:shd w:val="clear" w:fill="FFFFFF"/>
        </w:rPr>
        <w:t>号文件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53535"/>
          <w:spacing w:val="0"/>
          <w:sz w:val="21"/>
          <w:szCs w:val="21"/>
        </w:rPr>
      </w:pPr>
      <w:r>
        <w:rPr>
          <w:rFonts w:hint="eastAsia" w:ascii="方正小标宋简体" w:hAnsi="方正小标宋简体" w:eastAsia="方正小标宋简体" w:cs="方正小标宋简体"/>
          <w:b/>
          <w:bCs/>
          <w:i w:val="0"/>
          <w:iCs w:val="0"/>
          <w:caps w:val="0"/>
          <w:color w:val="353535"/>
          <w:spacing w:val="0"/>
          <w:sz w:val="43"/>
          <w:szCs w:val="43"/>
          <w:bdr w:val="none" w:color="auto" w:sz="0" w:space="0"/>
          <w:shd w:val="clear" w:fill="FFFFFF"/>
        </w:rPr>
        <w:t>切实做好城乡居民基本医疗保障工作的通知</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53535"/>
          <w:spacing w:val="0"/>
          <w:sz w:val="21"/>
          <w:szCs w:val="21"/>
        </w:rPr>
      </w:pPr>
      <w:r>
        <w:rPr>
          <w:rFonts w:ascii="方正仿宋简体" w:hAnsi="方正仿宋简体" w:eastAsia="方正仿宋简体" w:cs="方正仿宋简体"/>
          <w:b/>
          <w:bCs/>
          <w:i w:val="0"/>
          <w:iCs w:val="0"/>
          <w:caps w:val="0"/>
          <w:color w:val="353535"/>
          <w:spacing w:val="0"/>
          <w:sz w:val="31"/>
          <w:szCs w:val="31"/>
          <w:bdr w:val="none" w:color="auto" w:sz="0" w:space="0"/>
          <w:shd w:val="clear" w:fill="FFFFFF"/>
        </w:rPr>
        <w:t>济医保发</w:t>
      </w:r>
      <w:r>
        <w:rPr>
          <w:rFonts w:hint="eastAsia" w:ascii="方正仿宋简体" w:hAnsi="方正仿宋简体" w:eastAsia="方正仿宋简体" w:cs="方正仿宋简体"/>
          <w:b/>
          <w:bCs/>
          <w:i w:val="0"/>
          <w:iCs w:val="0"/>
          <w:caps w:val="0"/>
          <w:color w:val="353535"/>
          <w:spacing w:val="0"/>
          <w:sz w:val="31"/>
          <w:szCs w:val="31"/>
          <w:bdr w:val="none" w:color="auto" w:sz="0" w:space="0"/>
          <w:shd w:val="clear" w:fill="FFFFFF"/>
        </w:rPr>
        <w:t>〔</w:t>
      </w:r>
      <w:r>
        <w:rPr>
          <w:rFonts w:hint="default" w:ascii="Times New Roman" w:hAnsi="Times New Roman" w:eastAsia="方正仿宋简体" w:cs="Times New Roman"/>
          <w:b/>
          <w:bCs/>
          <w:i w:val="0"/>
          <w:iCs w:val="0"/>
          <w:caps w:val="0"/>
          <w:color w:val="353535"/>
          <w:spacing w:val="0"/>
          <w:sz w:val="31"/>
          <w:szCs w:val="31"/>
          <w:bdr w:val="none" w:color="auto" w:sz="0" w:space="0"/>
          <w:shd w:val="clear" w:fill="FFFFFF"/>
        </w:rPr>
        <w:t>2023</w:t>
      </w:r>
      <w:r>
        <w:rPr>
          <w:rFonts w:hint="eastAsia" w:ascii="方正仿宋简体" w:hAnsi="方正仿宋简体" w:eastAsia="方正仿宋简体" w:cs="方正仿宋简体"/>
          <w:b/>
          <w:bCs/>
          <w:i w:val="0"/>
          <w:iCs w:val="0"/>
          <w:caps w:val="0"/>
          <w:color w:val="353535"/>
          <w:spacing w:val="0"/>
          <w:sz w:val="31"/>
          <w:szCs w:val="31"/>
          <w:bdr w:val="none" w:color="auto" w:sz="0" w:space="0"/>
          <w:shd w:val="clear" w:fill="FFFFFF"/>
        </w:rPr>
        <w:t>〕 </w:t>
      </w:r>
      <w:r>
        <w:rPr>
          <w:rFonts w:hint="default" w:ascii="Times New Roman" w:hAnsi="Times New Roman" w:eastAsia="方正仿宋简体" w:cs="Times New Roman"/>
          <w:b/>
          <w:bCs/>
          <w:i w:val="0"/>
          <w:iCs w:val="0"/>
          <w:caps w:val="0"/>
          <w:color w:val="353535"/>
          <w:spacing w:val="0"/>
          <w:sz w:val="31"/>
          <w:szCs w:val="31"/>
          <w:bdr w:val="none" w:color="auto" w:sz="0" w:space="0"/>
          <w:shd w:val="clear" w:fill="FFFFFF"/>
        </w:rPr>
        <w:t>15</w:t>
      </w:r>
      <w:r>
        <w:rPr>
          <w:rFonts w:hint="eastAsia" w:ascii="方正仿宋简体" w:hAnsi="方正仿宋简体" w:eastAsia="方正仿宋简体" w:cs="方正仿宋简体"/>
          <w:b/>
          <w:bCs/>
          <w:i w:val="0"/>
          <w:iCs w:val="0"/>
          <w:caps w:val="0"/>
          <w:color w:val="353535"/>
          <w:spacing w:val="0"/>
          <w:sz w:val="31"/>
          <w:szCs w:val="31"/>
          <w:bdr w:val="none" w:color="auto" w:sz="0" w:space="0"/>
          <w:shd w:val="clear" w:fill="FFFFFF"/>
        </w:rPr>
        <w:t>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53535"/>
          <w:spacing w:val="0"/>
          <w:sz w:val="22"/>
          <w:szCs w:val="22"/>
        </w:rPr>
      </w:pPr>
      <w:r>
        <w:rPr>
          <w:rFonts w:hint="default" w:ascii="Times New Roman" w:hAnsi="Times New Roman" w:eastAsia="微软雅黑" w:cs="Times New Roman"/>
          <w:i w:val="0"/>
          <w:iCs w:val="0"/>
          <w:caps w:val="0"/>
          <w:color w:val="353535"/>
          <w:spacing w:val="0"/>
          <w:sz w:val="18"/>
          <w:szCs w:val="18"/>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53535"/>
          <w:spacing w:val="0"/>
          <w:sz w:val="21"/>
          <w:szCs w:val="21"/>
        </w:rPr>
      </w:pPr>
      <w:r>
        <w:rPr>
          <w:rFonts w:ascii="仿宋_GB2312" w:hAnsi="微软雅黑" w:eastAsia="仿宋_GB2312" w:cs="仿宋_GB2312"/>
          <w:b/>
          <w:bCs/>
          <w:i w:val="0"/>
          <w:iCs w:val="0"/>
          <w:caps w:val="0"/>
          <w:color w:val="353535"/>
          <w:spacing w:val="0"/>
          <w:sz w:val="31"/>
          <w:szCs w:val="31"/>
          <w:bdr w:val="none" w:color="auto" w:sz="0" w:space="0"/>
          <w:shd w:val="clear" w:fill="FFFFFF"/>
        </w:rPr>
        <w:t>各县（市、区）医疗保障局、财政局、国家税务总局济宁市各县（市、区）税务局，济宁高新区人力资源服务中心、太白湖新区社会保障事业服务中心、济宁经济技术开发区人力资源和社会保障服务中心，</w:t>
      </w:r>
      <w:r>
        <w:rPr>
          <w:rFonts w:hint="default" w:ascii="仿宋_GB2312" w:hAnsi="微软雅黑" w:eastAsia="仿宋_GB2312" w:cs="仿宋_GB2312"/>
          <w:b/>
          <w:bCs/>
          <w:i w:val="0"/>
          <w:iCs w:val="0"/>
          <w:caps w:val="0"/>
          <w:color w:val="353535"/>
          <w:spacing w:val="0"/>
          <w:sz w:val="31"/>
          <w:szCs w:val="31"/>
          <w:bdr w:val="none" w:color="auto" w:sz="0" w:space="0"/>
          <w:shd w:val="clear" w:fill="FFFFFF"/>
        </w:rPr>
        <w:t>兖矿能源集团有限公司人力资源服务中心：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53535"/>
          <w:spacing w:val="0"/>
          <w:sz w:val="21"/>
          <w:szCs w:val="21"/>
        </w:rPr>
      </w:pPr>
      <w:r>
        <w:rPr>
          <w:rFonts w:hint="default" w:ascii="仿宋_GB2312" w:hAnsi="微软雅黑" w:eastAsia="仿宋_GB2312" w:cs="仿宋_GB2312"/>
          <w:b/>
          <w:bCs/>
          <w:i w:val="0"/>
          <w:iCs w:val="0"/>
          <w:caps w:val="0"/>
          <w:color w:val="353535"/>
          <w:spacing w:val="0"/>
          <w:sz w:val="31"/>
          <w:szCs w:val="31"/>
          <w:bdr w:val="none" w:color="auto" w:sz="0" w:space="0"/>
          <w:shd w:val="clear" w:fill="FFFFFF"/>
        </w:rPr>
        <w:t>现将山东省医疗保障局、山东省财政厅、国家税务总局山东省税务局、国家税务总局青岛市税务局《关于做好全省2023年城乡居民基本医疗保障工作的通知》（鲁医保发〔2023〕36号）转发给你们，结合我市工作实际，提出如下意见，请一并贯彻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53535"/>
          <w:spacing w:val="0"/>
          <w:sz w:val="21"/>
          <w:szCs w:val="21"/>
        </w:rPr>
      </w:pPr>
      <w:r>
        <w:rPr>
          <w:rFonts w:ascii="黑体" w:hAnsi="宋体" w:eastAsia="黑体" w:cs="黑体"/>
          <w:b/>
          <w:bCs/>
          <w:i w:val="0"/>
          <w:iCs w:val="0"/>
          <w:caps w:val="0"/>
          <w:color w:val="353535"/>
          <w:spacing w:val="0"/>
          <w:sz w:val="31"/>
          <w:szCs w:val="31"/>
          <w:bdr w:val="none" w:color="auto" w:sz="0" w:space="0"/>
          <w:shd w:val="clear" w:fill="FFFFFF"/>
        </w:rPr>
        <w:t>一、合理确定筹资标准。</w:t>
      </w:r>
      <w:r>
        <w:rPr>
          <w:rFonts w:hint="default" w:ascii="仿宋_GB2312" w:hAnsi="微软雅黑" w:eastAsia="仿宋_GB2312" w:cs="仿宋_GB2312"/>
          <w:b/>
          <w:bCs/>
          <w:i w:val="0"/>
          <w:iCs w:val="0"/>
          <w:caps w:val="0"/>
          <w:color w:val="353535"/>
          <w:spacing w:val="0"/>
          <w:sz w:val="31"/>
          <w:szCs w:val="31"/>
          <w:bdr w:val="none" w:color="auto" w:sz="0" w:space="0"/>
          <w:shd w:val="clear" w:fill="FFFFFF"/>
        </w:rPr>
        <w:t>根据国家、省有关文件规定和要求，结合我市实际，确定2023年居民医保人均财政补助标准达到每人每年640元，个人缴费标准为每人每年380元。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53535"/>
          <w:spacing w:val="0"/>
          <w:sz w:val="21"/>
          <w:szCs w:val="21"/>
        </w:rPr>
      </w:pPr>
      <w:r>
        <w:rPr>
          <w:rFonts w:hint="eastAsia" w:ascii="黑体" w:hAnsi="宋体" w:eastAsia="黑体" w:cs="黑体"/>
          <w:b/>
          <w:bCs/>
          <w:i w:val="0"/>
          <w:iCs w:val="0"/>
          <w:caps w:val="0"/>
          <w:color w:val="353535"/>
          <w:spacing w:val="0"/>
          <w:sz w:val="31"/>
          <w:szCs w:val="31"/>
          <w:bdr w:val="none" w:color="auto" w:sz="0" w:space="0"/>
          <w:shd w:val="clear" w:fill="FFFFFF"/>
        </w:rPr>
        <w:t>二、扩大居民医保普通门诊统筹就医范围。</w:t>
      </w:r>
      <w:r>
        <w:rPr>
          <w:rFonts w:hint="default" w:ascii="仿宋_GB2312" w:hAnsi="微软雅黑" w:eastAsia="仿宋_GB2312" w:cs="仿宋_GB2312"/>
          <w:b/>
          <w:bCs/>
          <w:i w:val="0"/>
          <w:iCs w:val="0"/>
          <w:caps w:val="0"/>
          <w:color w:val="353535"/>
          <w:spacing w:val="0"/>
          <w:sz w:val="31"/>
          <w:szCs w:val="31"/>
          <w:bdr w:val="none" w:color="auto" w:sz="0" w:space="0"/>
          <w:shd w:val="clear" w:fill="FFFFFF"/>
        </w:rPr>
        <w:t>居民门诊统筹不再实行定点签约就医管理，门诊统筹定点医疗机构扩大至市内所有基层定点医疗机构，参保人员在市内门诊就医不受跨乡镇（街道）和县（市、区）限制，可自主选择市内基层定点医疗机构就医。一个自然年度内，居民门诊统筹支付限额累计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53535"/>
          <w:spacing w:val="0"/>
          <w:sz w:val="21"/>
          <w:szCs w:val="21"/>
        </w:rPr>
      </w:pPr>
      <w:r>
        <w:rPr>
          <w:rFonts w:hint="default" w:ascii="仿宋_GB2312" w:hAnsi="微软雅黑" w:eastAsia="仿宋_GB2312" w:cs="仿宋_GB2312"/>
          <w:b/>
          <w:bCs/>
          <w:i w:val="0"/>
          <w:iCs w:val="0"/>
          <w:caps w:val="0"/>
          <w:color w:val="353535"/>
          <w:spacing w:val="0"/>
          <w:sz w:val="31"/>
          <w:szCs w:val="31"/>
          <w:bdr w:val="none" w:color="auto" w:sz="0" w:space="0"/>
          <w:shd w:val="clear" w:fill="FFFFFF"/>
        </w:rPr>
        <w:t>参保人员在基层定点医疗机构就诊发生的普通门诊医疗费用实行即时联网结算。参保居民只支付个人自负部分，统筹基金支付部分由医疗保障经办机构与定点医疗机构直接结算。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53535"/>
          <w:spacing w:val="0"/>
          <w:sz w:val="21"/>
          <w:szCs w:val="21"/>
        </w:rPr>
      </w:pPr>
      <w:r>
        <w:rPr>
          <w:rFonts w:hint="eastAsia" w:ascii="黑体" w:hAnsi="宋体" w:eastAsia="黑体" w:cs="黑体"/>
          <w:b/>
          <w:bCs/>
          <w:i w:val="0"/>
          <w:iCs w:val="0"/>
          <w:caps w:val="0"/>
          <w:color w:val="353535"/>
          <w:spacing w:val="0"/>
          <w:sz w:val="31"/>
          <w:szCs w:val="31"/>
          <w:bdr w:val="none" w:color="auto" w:sz="0" w:space="0"/>
          <w:shd w:val="clear" w:fill="FFFFFF"/>
        </w:rPr>
        <w:t>三、持续提升居民医保住院待遇水平。</w:t>
      </w:r>
      <w:r>
        <w:rPr>
          <w:rFonts w:hint="default" w:ascii="仿宋_GB2312" w:hAnsi="微软雅黑" w:eastAsia="仿宋_GB2312" w:cs="仿宋_GB2312"/>
          <w:b/>
          <w:bCs/>
          <w:i w:val="0"/>
          <w:iCs w:val="0"/>
          <w:caps w:val="0"/>
          <w:color w:val="353535"/>
          <w:spacing w:val="0"/>
          <w:sz w:val="31"/>
          <w:szCs w:val="31"/>
          <w:bdr w:val="none" w:color="auto" w:sz="0" w:space="0"/>
          <w:shd w:val="clear" w:fill="FFFFFF"/>
        </w:rPr>
        <w:t>持续巩固居民医保住院待遇水平，基层医疗机构政策范围内基金支付比例为85%；稳步提升普通门诊、门诊慢特病保障水平，确保到2025年门诊慢特病政策范围内居民医保基金平均支付比例达到65%。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53535"/>
          <w:spacing w:val="0"/>
          <w:sz w:val="21"/>
          <w:szCs w:val="21"/>
        </w:rPr>
      </w:pPr>
      <w:r>
        <w:rPr>
          <w:rFonts w:hint="eastAsia" w:ascii="黑体" w:hAnsi="宋体" w:eastAsia="黑体" w:cs="黑体"/>
          <w:b/>
          <w:bCs/>
          <w:i w:val="0"/>
          <w:iCs w:val="0"/>
          <w:caps w:val="0"/>
          <w:color w:val="353535"/>
          <w:spacing w:val="0"/>
          <w:sz w:val="31"/>
          <w:szCs w:val="31"/>
          <w:bdr w:val="none" w:color="auto" w:sz="0" w:space="0"/>
          <w:shd w:val="clear" w:fill="FFFFFF"/>
        </w:rPr>
        <w:t>四、巩固扩大参保覆盖面。</w:t>
      </w:r>
      <w:r>
        <w:rPr>
          <w:rFonts w:hint="default" w:ascii="仿宋_GB2312" w:hAnsi="微软雅黑" w:eastAsia="仿宋_GB2312" w:cs="仿宋_GB2312"/>
          <w:b/>
          <w:bCs/>
          <w:i w:val="0"/>
          <w:iCs w:val="0"/>
          <w:caps w:val="0"/>
          <w:color w:val="353535"/>
          <w:spacing w:val="0"/>
          <w:sz w:val="31"/>
          <w:szCs w:val="31"/>
          <w:bdr w:val="none" w:color="auto" w:sz="0" w:space="0"/>
          <w:shd w:val="clear" w:fill="FFFFFF"/>
        </w:rPr>
        <w:t>全面推进全民参保计划，巩固城乡居民医保覆盖面，2023年12月31日前做好集中参保登记和缴费期工作。2024年度基本医疗保险参保率稳定在97%左右，稳定实现农村低收入人口和脱贫人口参保率达到99%以上。在全面做好居民参保缴费的基础上，重点做好免缴费人群参保工作，持续做好驻济高校学生、新生儿、农民工以及持有我市居住证的外地户籍人员等人群的参保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53535"/>
          <w:spacing w:val="0"/>
          <w:sz w:val="21"/>
          <w:szCs w:val="21"/>
        </w:rPr>
      </w:pPr>
      <w:r>
        <w:rPr>
          <w:rFonts w:hint="eastAsia" w:ascii="黑体" w:hAnsi="宋体" w:eastAsia="黑体" w:cs="黑体"/>
          <w:b/>
          <w:bCs/>
          <w:i w:val="0"/>
          <w:iCs w:val="0"/>
          <w:caps w:val="0"/>
          <w:color w:val="353535"/>
          <w:spacing w:val="0"/>
          <w:sz w:val="31"/>
          <w:szCs w:val="31"/>
          <w:bdr w:val="none" w:color="auto" w:sz="0" w:space="0"/>
          <w:shd w:val="clear" w:fill="FFFFFF"/>
        </w:rPr>
        <w:t>五、加强协调配合和督导检查。</w:t>
      </w:r>
      <w:r>
        <w:rPr>
          <w:rFonts w:hint="default" w:ascii="仿宋_GB2312" w:hAnsi="微软雅黑" w:eastAsia="仿宋_GB2312" w:cs="仿宋_GB2312"/>
          <w:b/>
          <w:bCs/>
          <w:i w:val="0"/>
          <w:iCs w:val="0"/>
          <w:caps w:val="0"/>
          <w:color w:val="353535"/>
          <w:spacing w:val="0"/>
          <w:sz w:val="31"/>
          <w:szCs w:val="31"/>
          <w:bdr w:val="none" w:color="auto" w:sz="0" w:space="0"/>
          <w:shd w:val="clear" w:fill="FFFFFF"/>
        </w:rPr>
        <w:t>城乡居民医疗保障关系群众切身利益，是重要的民生工作。参保缴费工作涉及人员多，情况复杂，时间紧、任务重，各县（市、区）要高度重视、统筹谋划，及早安排、全面动员，成立专门工作班子，召开居民医保征缴专题会议，部署2024年度参保缴费工作，特别针对未参保人员，要发挥镇街和村（社区）“两委”情况熟、做法多的优势，进一步筛查比对，形成未参保人员名单，协助做好参保缴费。同时，要加大政策宣传力度，做好筹资和待遇政策的解读，增强群众互助共济和参保缴费意识，确保全市城乡居民应保尽保、基金应收尽收。市级各有关部门、各县（市、区）要结合工作实际加强与公安、教育、卫健、民政、残联等部门的协调配合，健全信息互通共享和协同推进机制，细化工作措施，适时调度工作进度，联合召开工作推进会，定期通报参保缴费工作进展情况，对进展慢的要实地指导，确保政策、资金、服务落实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53535"/>
          <w:spacing w:val="0"/>
          <w:sz w:val="21"/>
          <w:szCs w:val="21"/>
        </w:rPr>
      </w:pP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70"/>
        <w:gridCol w:w="2720"/>
        <w:gridCol w:w="2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65" w:type="dxa"/>
            <w:tcBorders>
              <w:top w:val="nil"/>
              <w:left w:val="nil"/>
              <w:bottom w:val="nil"/>
              <w:right w:val="nil"/>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default" w:ascii="仿宋_GB2312" w:hAnsi="微软雅黑" w:eastAsia="仿宋_GB2312" w:cs="仿宋_GB2312"/>
                <w:b/>
                <w:bCs/>
                <w:i w:val="0"/>
                <w:iCs w:val="0"/>
                <w:caps w:val="0"/>
                <w:color w:val="353535"/>
                <w:spacing w:val="0"/>
                <w:sz w:val="31"/>
                <w:szCs w:val="31"/>
                <w:bdr w:val="none" w:color="auto" w:sz="0" w:space="0"/>
              </w:rPr>
              <w:t>济宁市医疗保障局</w:t>
            </w:r>
          </w:p>
        </w:tc>
        <w:tc>
          <w:tcPr>
            <w:tcW w:w="2715" w:type="dxa"/>
            <w:tcBorders>
              <w:top w:val="nil"/>
              <w:left w:val="nil"/>
              <w:bottom w:val="nil"/>
              <w:right w:val="nil"/>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default" w:ascii="仿宋_GB2312" w:hAnsi="微软雅黑" w:eastAsia="仿宋_GB2312" w:cs="仿宋_GB2312"/>
                <w:b/>
                <w:bCs/>
                <w:i w:val="0"/>
                <w:iCs w:val="0"/>
                <w:caps w:val="0"/>
                <w:color w:val="353535"/>
                <w:spacing w:val="0"/>
                <w:sz w:val="31"/>
                <w:szCs w:val="31"/>
                <w:bdr w:val="none" w:color="auto" w:sz="0" w:space="0"/>
              </w:rPr>
              <w:t>济宁市财政局</w:t>
            </w:r>
          </w:p>
        </w:tc>
        <w:tc>
          <w:tcPr>
            <w:tcW w:w="2625" w:type="dxa"/>
            <w:tcBorders>
              <w:top w:val="nil"/>
              <w:left w:val="nil"/>
              <w:bottom w:val="nil"/>
              <w:right w:val="nil"/>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sz w:val="21"/>
                <w:szCs w:val="21"/>
              </w:rPr>
            </w:pPr>
            <w:r>
              <w:rPr>
                <w:rFonts w:hint="default" w:ascii="仿宋_GB2312" w:hAnsi="微软雅黑" w:eastAsia="仿宋_GB2312" w:cs="仿宋_GB2312"/>
                <w:b/>
                <w:bCs/>
                <w:i w:val="0"/>
                <w:iCs w:val="0"/>
                <w:caps w:val="0"/>
                <w:color w:val="353535"/>
                <w:spacing w:val="0"/>
                <w:sz w:val="31"/>
                <w:szCs w:val="31"/>
                <w:bdr w:val="none" w:color="auto" w:sz="0" w:space="0"/>
              </w:rPr>
              <w:t>国家税务总局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default" w:ascii="仿宋_GB2312" w:hAnsi="微软雅黑" w:eastAsia="仿宋_GB2312" w:cs="仿宋_GB2312"/>
                <w:b/>
                <w:bCs/>
                <w:i w:val="0"/>
                <w:iCs w:val="0"/>
                <w:caps w:val="0"/>
                <w:color w:val="353535"/>
                <w:spacing w:val="0"/>
                <w:sz w:val="31"/>
                <w:szCs w:val="31"/>
                <w:bdr w:val="none" w:color="auto" w:sz="0" w:space="0"/>
              </w:rPr>
              <w:t>济宁市税务局</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53535"/>
          <w:spacing w:val="0"/>
          <w:sz w:val="22"/>
          <w:szCs w:val="22"/>
        </w:rPr>
      </w:pPr>
      <w:r>
        <w:rPr>
          <w:rFonts w:hint="default" w:ascii="Times New Roman" w:hAnsi="Times New Roman" w:eastAsia="微软雅黑" w:cs="Times New Roman"/>
          <w:b/>
          <w:bCs/>
          <w:i w:val="0"/>
          <w:iCs w:val="0"/>
          <w:caps w:val="0"/>
          <w:color w:val="353535"/>
          <w:spacing w:val="0"/>
          <w:sz w:val="18"/>
          <w:szCs w:val="18"/>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right"/>
        <w:rPr>
          <w:rFonts w:hint="eastAsia" w:ascii="微软雅黑" w:hAnsi="微软雅黑" w:eastAsia="微软雅黑" w:cs="微软雅黑"/>
          <w:i w:val="0"/>
          <w:iCs w:val="0"/>
          <w:caps w:val="0"/>
          <w:color w:val="353535"/>
          <w:spacing w:val="0"/>
          <w:sz w:val="21"/>
          <w:szCs w:val="21"/>
        </w:rPr>
      </w:pPr>
      <w:r>
        <w:rPr>
          <w:rFonts w:hint="default" w:ascii="仿宋_GB2312" w:hAnsi="微软雅黑" w:eastAsia="仿宋_GB2312" w:cs="仿宋_GB2312"/>
          <w:b/>
          <w:bCs/>
          <w:i w:val="0"/>
          <w:iCs w:val="0"/>
          <w:caps w:val="0"/>
          <w:color w:val="353535"/>
          <w:spacing w:val="0"/>
          <w:sz w:val="31"/>
          <w:szCs w:val="31"/>
          <w:bdr w:val="none" w:color="auto" w:sz="0" w:space="0"/>
          <w:shd w:val="clear" w:fill="FFFFFF"/>
        </w:rPr>
        <w:t>   2023年9月5日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53535"/>
          <w:spacing w:val="0"/>
          <w:sz w:val="22"/>
          <w:szCs w:val="22"/>
        </w:rPr>
      </w:pPr>
      <w:r>
        <w:rPr>
          <w:rFonts w:hint="default" w:ascii="仿宋_GB2312" w:hAnsi="微软雅黑" w:eastAsia="仿宋_GB2312" w:cs="仿宋_GB2312"/>
          <w:b/>
          <w:bCs/>
          <w:i w:val="0"/>
          <w:iCs w:val="0"/>
          <w:caps w:val="0"/>
          <w:color w:val="353535"/>
          <w:spacing w:val="0"/>
          <w:sz w:val="31"/>
          <w:szCs w:val="31"/>
          <w:bdr w:val="none" w:color="auto" w:sz="0" w:space="0"/>
          <w:shd w:val="clear" w:fill="FFFFFF"/>
        </w:rPr>
        <w:t>（此件主动公开）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62CA3"/>
    <w:rsid w:val="096070AC"/>
    <w:rsid w:val="0F726819"/>
    <w:rsid w:val="17557192"/>
    <w:rsid w:val="27762CA3"/>
    <w:rsid w:val="29AC6528"/>
    <w:rsid w:val="41DD3482"/>
    <w:rsid w:val="51263AED"/>
    <w:rsid w:val="584C1124"/>
    <w:rsid w:val="7AEA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600" w:lineRule="exact"/>
      <w:jc w:val="center"/>
      <w:outlineLvl w:val="0"/>
    </w:pPr>
    <w:rPr>
      <w:rFonts w:ascii="方正小标宋简体" w:hAnsi="方正小标宋简体" w:eastAsia="方正小标宋简体"/>
      <w:b/>
      <w:kern w:val="44"/>
      <w:sz w:val="44"/>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600" w:lineRule="exact"/>
      <w:ind w:firstLine="883" w:firstLineChars="200"/>
      <w:outlineLvl w:val="1"/>
    </w:pPr>
    <w:rPr>
      <w:rFonts w:ascii="方正黑体简体" w:hAnsi="方正黑体简体" w:eastAsia="方正黑体简体"/>
      <w:b/>
      <w:sz w:val="32"/>
    </w:rPr>
  </w:style>
  <w:style w:type="paragraph" w:styleId="4">
    <w:name w:val="heading 3"/>
    <w:basedOn w:val="1"/>
    <w:next w:val="1"/>
    <w:link w:val="9"/>
    <w:semiHidden/>
    <w:unhideWhenUsed/>
    <w:qFormat/>
    <w:uiPriority w:val="0"/>
    <w:pPr>
      <w:keepNext/>
      <w:keepLines/>
      <w:adjustRightInd w:val="0"/>
      <w:snapToGrid w:val="0"/>
      <w:spacing w:beforeLines="0" w:beforeAutospacing="0" w:afterLines="0" w:afterAutospacing="0" w:line="600" w:lineRule="exact"/>
      <w:ind w:firstLine="883" w:firstLineChars="200"/>
      <w:outlineLvl w:val="2"/>
    </w:pPr>
    <w:rPr>
      <w:rFonts w:ascii="方正楷体简体" w:hAnsi="方正楷体简体" w:eastAsia="方正楷体简体"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公文正文"/>
    <w:basedOn w:val="1"/>
    <w:qFormat/>
    <w:uiPriority w:val="0"/>
    <w:pPr>
      <w:adjustRightInd w:val="0"/>
      <w:snapToGrid w:val="0"/>
      <w:spacing w:line="600" w:lineRule="exact"/>
      <w:ind w:firstLine="643" w:firstLineChars="200"/>
    </w:pPr>
    <w:rPr>
      <w:rFonts w:hint="eastAsia" w:ascii="Times New Roman" w:hAnsi="Times New Roman" w:eastAsia="方正仿宋简体" w:cs="方正仿宋简体"/>
      <w:b/>
      <w:sz w:val="32"/>
      <w:szCs w:val="32"/>
    </w:rPr>
  </w:style>
  <w:style w:type="character" w:customStyle="1" w:styleId="9">
    <w:name w:val="标题 3 Char"/>
    <w:link w:val="4"/>
    <w:qFormat/>
    <w:uiPriority w:val="0"/>
    <w:rPr>
      <w:rFonts w:ascii="方正楷体简体" w:hAnsi="方正楷体简体" w:eastAsia="方正楷体简体" w:cs="Times New Roman"/>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2024-01-09T06:41:00Z</dcterms:created>
  <dc:creator>临行回头</dc:creator>
  <cp:lastModifiedBy>临行回头</cp:lastModifiedBy>
  <dcterms:modified xsi:type="dcterms:W3CDTF">2024-01-09T06:42:52Z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2FB3EE0A6A8342858C3C12F311FCD491</vt:lpwstr>
  </property>
</Properties>
</file>