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val="0"/>
          <w:bCs/>
          <w:i w:val="0"/>
          <w:caps w:val="0"/>
          <w:color w:val="333333"/>
          <w:spacing w:val="0"/>
          <w:sz w:val="44"/>
          <w:szCs w:val="44"/>
          <w:shd w:val="clear" w:fill="FFFFFF"/>
          <w:lang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bCs w:val="0"/>
          <w:i w:val="0"/>
          <w:caps w:val="0"/>
          <w:color w:val="auto"/>
          <w:spacing w:val="-17"/>
          <w:sz w:val="44"/>
          <w:szCs w:val="44"/>
          <w:shd w:val="clear" w:fill="FFFFFF"/>
        </w:rPr>
      </w:pPr>
      <w:r>
        <w:rPr>
          <w:rFonts w:hint="eastAsia" w:ascii="方正小标宋简体" w:hAnsi="方正小标宋简体" w:eastAsia="方正小标宋简体" w:cs="方正小标宋简体"/>
          <w:b/>
          <w:bCs w:val="0"/>
          <w:i w:val="0"/>
          <w:caps w:val="0"/>
          <w:color w:val="auto"/>
          <w:spacing w:val="0"/>
          <w:sz w:val="44"/>
          <w:szCs w:val="44"/>
          <w:shd w:val="clear" w:fill="FFFFFF"/>
          <w:lang w:eastAsia="zh-CN"/>
        </w:rPr>
        <w:t>济宁市</w:t>
      </w:r>
      <w:r>
        <w:rPr>
          <w:rFonts w:hint="eastAsia" w:ascii="方正小标宋简体" w:hAnsi="方正小标宋简体" w:eastAsia="方正小标宋简体" w:cs="方正小标宋简体"/>
          <w:b/>
          <w:bCs w:val="0"/>
          <w:i w:val="0"/>
          <w:caps w:val="0"/>
          <w:color w:val="auto"/>
          <w:spacing w:val="0"/>
          <w:sz w:val="44"/>
          <w:szCs w:val="44"/>
          <w:shd w:val="clear" w:fill="FFFFFF"/>
          <w:lang w:val="en-US" w:eastAsia="zh-CN"/>
        </w:rPr>
        <w:t>医疗保障</w:t>
      </w:r>
      <w:r>
        <w:rPr>
          <w:rFonts w:hint="eastAsia" w:ascii="方正小标宋简体" w:hAnsi="方正小标宋简体" w:eastAsia="方正小标宋简体" w:cs="方正小标宋简体"/>
          <w:b/>
          <w:bCs w:val="0"/>
          <w:i w:val="0"/>
          <w:caps w:val="0"/>
          <w:color w:val="auto"/>
          <w:spacing w:val="-17"/>
          <w:sz w:val="44"/>
          <w:szCs w:val="44"/>
          <w:shd w:val="clear" w:fill="FFFFFF"/>
          <w:lang w:val="en-US" w:eastAsia="zh-CN"/>
        </w:rPr>
        <w:t>局2022年</w:t>
      </w:r>
      <w:r>
        <w:rPr>
          <w:rFonts w:hint="eastAsia" w:ascii="方正小标宋简体" w:hAnsi="方正小标宋简体" w:eastAsia="方正小标宋简体" w:cs="方正小标宋简体"/>
          <w:b/>
          <w:bCs w:val="0"/>
          <w:i w:val="0"/>
          <w:caps w:val="0"/>
          <w:color w:val="auto"/>
          <w:spacing w:val="-17"/>
          <w:sz w:val="44"/>
          <w:szCs w:val="44"/>
          <w:shd w:val="clear" w:fill="FFFFFF"/>
        </w:rPr>
        <w:t>政府信息公开</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bCs w:val="0"/>
          <w:i w:val="0"/>
          <w:caps w:val="0"/>
          <w:color w:val="333333"/>
          <w:spacing w:val="0"/>
          <w:sz w:val="44"/>
          <w:szCs w:val="44"/>
        </w:rPr>
      </w:pPr>
      <w:r>
        <w:rPr>
          <w:rFonts w:hint="eastAsia" w:ascii="方正小标宋简体" w:hAnsi="方正小标宋简体" w:eastAsia="方正小标宋简体" w:cs="方正小标宋简体"/>
          <w:b/>
          <w:bCs w:val="0"/>
          <w:i w:val="0"/>
          <w:caps w:val="0"/>
          <w:color w:val="auto"/>
          <w:spacing w:val="-17"/>
          <w:sz w:val="44"/>
          <w:szCs w:val="44"/>
          <w:shd w:val="clear" w:fill="FFFFFF"/>
        </w:rPr>
        <w:t>工作</w:t>
      </w:r>
      <w:r>
        <w:rPr>
          <w:rFonts w:hint="eastAsia" w:ascii="方正小标宋简体" w:hAnsi="方正小标宋简体" w:eastAsia="方正小标宋简体" w:cs="方正小标宋简体"/>
          <w:b/>
          <w:bCs w:val="0"/>
          <w:i w:val="0"/>
          <w:caps w:val="0"/>
          <w:color w:val="auto"/>
          <w:spacing w:val="0"/>
          <w:sz w:val="44"/>
          <w:szCs w:val="44"/>
          <w:shd w:val="clear" w:fill="FFFFFF"/>
        </w:rPr>
        <w:t>年度报告</w:t>
      </w:r>
    </w:p>
    <w:p>
      <w:pPr>
        <w:spacing w:line="590" w:lineRule="exact"/>
        <w:ind w:right="-105" w:rightChars="-50" w:firstLine="643" w:firstLineChars="200"/>
        <w:rPr>
          <w:rFonts w:hint="default" w:ascii="Times New Roman" w:hAnsi="Times New Roman" w:eastAsia="方正仿宋简体" w:cs="Times New Roman"/>
          <w:b/>
          <w:color w:val="000000"/>
          <w:spacing w:val="-11"/>
          <w:sz w:val="32"/>
          <w:szCs w:val="32"/>
        </w:rPr>
      </w:pPr>
      <w:r>
        <w:rPr>
          <w:rFonts w:hint="default" w:ascii="Times New Roman" w:hAnsi="Times New Roman" w:eastAsia="方正仿宋简体" w:cs="Times New Roman"/>
          <w:b/>
          <w:color w:val="000000"/>
          <w:sz w:val="32"/>
          <w:szCs w:val="32"/>
        </w:rPr>
        <w:t>本报告由</w:t>
      </w:r>
      <w:r>
        <w:rPr>
          <w:rFonts w:hint="default" w:ascii="Times New Roman" w:hAnsi="Times New Roman" w:eastAsia="方正仿宋简体" w:cs="Times New Roman"/>
          <w:b/>
          <w:color w:val="000000"/>
          <w:sz w:val="32"/>
          <w:szCs w:val="32"/>
          <w:lang w:val="en-US" w:eastAsia="zh-CN"/>
        </w:rPr>
        <w:t>济宁市医疗保障局</w:t>
      </w:r>
      <w:r>
        <w:rPr>
          <w:rFonts w:hint="default" w:ascii="Times New Roman" w:hAnsi="Times New Roman" w:eastAsia="方正仿宋简体" w:cs="Times New Roman"/>
          <w:b/>
          <w:color w:val="000000"/>
          <w:sz w:val="32"/>
          <w:szCs w:val="32"/>
        </w:rPr>
        <w:t>按照《中华人民共和国政府信息公开条例》（以下简称《条例》）和《中华人民共和国政府信息</w:t>
      </w:r>
      <w:r>
        <w:rPr>
          <w:rFonts w:hint="default" w:ascii="Times New Roman" w:hAnsi="Times New Roman" w:eastAsia="方正仿宋简体" w:cs="Times New Roman"/>
          <w:b/>
          <w:color w:val="000000"/>
          <w:spacing w:val="-11"/>
          <w:sz w:val="32"/>
          <w:szCs w:val="32"/>
        </w:rPr>
        <w:t>公开工作年度报告格式》（国办公开办函〔2021〕30号）要求编制。</w:t>
      </w:r>
    </w:p>
    <w:p>
      <w:pPr>
        <w:spacing w:line="590" w:lineRule="exact"/>
        <w:ind w:right="-105"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5" w:rightChars="-50" w:firstLine="643" w:firstLineChars="200"/>
        <w:rPr>
          <w:rFonts w:hint="eastAsia" w:ascii="黑体" w:hAnsi="黑体" w:eastAsia="黑体" w:cs="黑体"/>
          <w:b/>
          <w:i w:val="0"/>
          <w:caps w:val="0"/>
          <w:color w:val="333333"/>
          <w:spacing w:val="0"/>
          <w:sz w:val="32"/>
          <w:szCs w:val="32"/>
          <w:shd w:val="clear" w:fill="FFFFFF"/>
        </w:rPr>
      </w:pPr>
      <w:r>
        <w:rPr>
          <w:rFonts w:hint="default" w:ascii="Times New Roman" w:hAnsi="Times New Roman" w:eastAsia="方正仿宋简体" w:cs="Times New Roman"/>
          <w:b/>
          <w:color w:val="000000"/>
          <w:sz w:val="32"/>
          <w:szCs w:val="32"/>
        </w:rPr>
        <w:t>本报告所列数据的统计期限自2022年1月1日起至2022年12月31日止。本报告电子版可在“中国·济宁”政府门户网站（</w:t>
      </w:r>
      <w:r>
        <w:rPr>
          <w:rStyle w:val="12"/>
          <w:rFonts w:hint="default" w:ascii="Times New Roman" w:hAnsi="Times New Roman" w:eastAsia="微软雅黑" w:cs="Times New Roman"/>
          <w:i w:val="0"/>
          <w:iCs w:val="0"/>
          <w:caps w:val="0"/>
          <w:color w:val="333333"/>
          <w:spacing w:val="0"/>
          <w:sz w:val="31"/>
          <w:szCs w:val="31"/>
        </w:rPr>
        <w:t>https://www.jining.gov.cn/col/col61540/index.html?jh=263</w:t>
      </w:r>
      <w:r>
        <w:rPr>
          <w:rFonts w:hint="default" w:ascii="Times New Roman" w:hAnsi="Times New Roman" w:eastAsia="方正仿宋简体" w:cs="Times New Roman"/>
          <w:b/>
          <w:color w:val="000000"/>
          <w:sz w:val="32"/>
          <w:szCs w:val="32"/>
        </w:rPr>
        <w:t>）查阅或下载。如对本报告有疑问，请与</w:t>
      </w:r>
      <w:r>
        <w:rPr>
          <w:rFonts w:hint="eastAsia" w:ascii="Times New Roman" w:hAnsi="Times New Roman" w:eastAsia="方正仿宋简体" w:cs="Times New Roman"/>
          <w:b/>
          <w:color w:val="000000"/>
          <w:sz w:val="32"/>
          <w:szCs w:val="32"/>
          <w:lang w:val="en-US" w:eastAsia="zh-CN"/>
        </w:rPr>
        <w:t>济宁市医疗保障局</w:t>
      </w:r>
      <w:r>
        <w:rPr>
          <w:rFonts w:hint="default" w:ascii="Times New Roman" w:hAnsi="Times New Roman" w:eastAsia="方正仿宋简体" w:cs="Times New Roman"/>
          <w:b/>
          <w:color w:val="000000"/>
          <w:sz w:val="32"/>
          <w:szCs w:val="32"/>
        </w:rPr>
        <w:t>联系（地址：济宁市太白湖新区省运会指挥中心B</w:t>
      </w:r>
      <w:r>
        <w:rPr>
          <w:rFonts w:hint="eastAsia" w:ascii="Times New Roman" w:hAnsi="Times New Roman" w:eastAsia="方正仿宋简体" w:cs="Times New Roman"/>
          <w:b/>
          <w:color w:val="000000"/>
          <w:sz w:val="32"/>
          <w:szCs w:val="32"/>
        </w:rPr>
        <w:t>区</w:t>
      </w:r>
      <w:r>
        <w:rPr>
          <w:rFonts w:hint="default" w:ascii="Times New Roman" w:hAnsi="Times New Roman" w:eastAsia="方正仿宋简体" w:cs="Times New Roman"/>
          <w:b/>
          <w:color w:val="000000"/>
          <w:sz w:val="32"/>
          <w:szCs w:val="32"/>
        </w:rPr>
        <w:t>5</w:t>
      </w:r>
      <w:r>
        <w:rPr>
          <w:rFonts w:hint="eastAsia" w:ascii="Times New Roman" w:hAnsi="Times New Roman" w:eastAsia="方正仿宋简体" w:cs="Times New Roman"/>
          <w:b/>
          <w:color w:val="000000"/>
          <w:sz w:val="32"/>
          <w:szCs w:val="32"/>
        </w:rPr>
        <w:t>楼，联系电话：</w:t>
      </w:r>
      <w:r>
        <w:rPr>
          <w:rFonts w:hint="default" w:ascii="Times New Roman" w:hAnsi="Times New Roman" w:eastAsia="方正仿宋简体" w:cs="Times New Roman"/>
          <w:b/>
          <w:color w:val="000000"/>
          <w:sz w:val="32"/>
          <w:szCs w:val="32"/>
        </w:rPr>
        <w:t>0537-2969500）。</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方正黑体简体" w:hAnsi="方正黑体简体" w:eastAsia="方正黑体简体" w:cs="方正黑体简体"/>
          <w:i w:val="0"/>
          <w:caps w:val="0"/>
          <w:color w:val="auto"/>
          <w:spacing w:val="0"/>
          <w:sz w:val="32"/>
          <w:szCs w:val="32"/>
        </w:rPr>
      </w:pPr>
      <w:r>
        <w:rPr>
          <w:rFonts w:hint="eastAsia" w:ascii="方正黑体简体" w:hAnsi="方正黑体简体" w:eastAsia="方正黑体简体" w:cs="方正黑体简体"/>
          <w:b/>
          <w:i w:val="0"/>
          <w:caps w:val="0"/>
          <w:color w:val="auto"/>
          <w:spacing w:val="0"/>
          <w:sz w:val="32"/>
          <w:szCs w:val="32"/>
          <w:shd w:val="clear" w:fill="FFFFFF"/>
        </w:rPr>
        <w:t>一、总体情况</w:t>
      </w:r>
    </w:p>
    <w:p>
      <w:pPr>
        <w:autoSpaceDE w:val="0"/>
        <w:autoSpaceDN w:val="0"/>
        <w:adjustRightInd w:val="0"/>
        <w:snapToGrid w:val="0"/>
        <w:spacing w:line="540" w:lineRule="exact"/>
        <w:ind w:firstLine="643" w:firstLineChars="200"/>
        <w:rPr>
          <w:rFonts w:hint="eastAsia" w:ascii="Times New Roman" w:hAnsi="Times New Roman" w:eastAsia="方正仿宋简体" w:cs="Times New Roman"/>
          <w:b/>
          <w:bCs w:val="0"/>
          <w:kern w:val="2"/>
          <w:sz w:val="32"/>
          <w:szCs w:val="32"/>
          <w:u w:val="none"/>
          <w:shd w:val="clear" w:color="auto" w:fill="auto"/>
          <w:lang w:val="en-US" w:eastAsia="zh-CN" w:bidi="ar-SA"/>
        </w:rPr>
      </w:pPr>
      <w:r>
        <w:rPr>
          <w:rFonts w:hint="eastAsia" w:ascii="Times New Roman" w:hAnsi="Times New Roman" w:eastAsia="方正仿宋简体" w:cs="Times New Roman"/>
          <w:b/>
          <w:bCs w:val="0"/>
          <w:kern w:val="2"/>
          <w:sz w:val="32"/>
          <w:szCs w:val="32"/>
          <w:u w:val="none"/>
          <w:shd w:val="clear" w:color="auto" w:fill="auto"/>
          <w:lang w:val="en-US" w:eastAsia="zh-CN" w:bidi="ar-SA"/>
        </w:rPr>
        <w:t>2022年，济宁市医疗保障局通过不断完善公开制度、夯实公开基础、加大公开力度、提升公开能力，促进医保政务公开标准化、规范化。</w:t>
      </w:r>
    </w:p>
    <w:p>
      <w:pPr>
        <w:spacing w:line="590" w:lineRule="exact"/>
        <w:ind w:right="-105" w:rightChars="-50" w:firstLine="643" w:firstLineChars="200"/>
        <w:rPr>
          <w:rFonts w:hint="eastAsia" w:ascii="方正楷体简体" w:eastAsia="方正楷体简体"/>
          <w:b/>
          <w:color w:val="000000" w:themeColor="text1"/>
          <w:sz w:val="32"/>
          <w:szCs w:val="32"/>
          <w:lang w:val="en-US" w:eastAsia="zh-CN"/>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（一）主动公开</w:t>
      </w:r>
      <w:r>
        <w:rPr>
          <w:rFonts w:hint="eastAsia" w:ascii="方正楷体简体" w:eastAsia="方正楷体简体"/>
          <w:b/>
          <w:color w:val="000000" w:themeColor="text1"/>
          <w:sz w:val="32"/>
          <w:szCs w:val="32"/>
          <w:lang w:val="en-US" w:eastAsia="zh-CN"/>
          <w14:textFill>
            <w14:solidFill>
              <w14:schemeClr w14:val="tx1"/>
            </w14:solidFill>
          </w14:textFill>
        </w:rPr>
        <w:t>方面</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right="0" w:firstLine="643" w:firstLineChars="200"/>
        <w:jc w:val="left"/>
        <w:rPr>
          <w:rFonts w:hint="eastAsia" w:ascii="微软雅黑" w:hAnsi="微软雅黑" w:eastAsia="微软雅黑" w:cs="微软雅黑"/>
          <w:i w:val="0"/>
          <w:iCs w:val="0"/>
          <w:caps w:val="0"/>
          <w:color w:val="333333"/>
          <w:spacing w:val="0"/>
          <w:sz w:val="19"/>
          <w:szCs w:val="19"/>
        </w:rPr>
      </w:pPr>
      <w:r>
        <w:rPr>
          <w:rFonts w:hint="eastAsia" w:ascii="Times New Roman" w:hAnsi="Times New Roman" w:eastAsia="方正仿宋简体" w:cs="Times New Roman"/>
          <w:b/>
          <w:bCs w:val="0"/>
          <w:kern w:val="2"/>
          <w:sz w:val="32"/>
          <w:szCs w:val="32"/>
          <w:lang w:val="en-US" w:eastAsia="zh-CN" w:bidi="ar-SA"/>
        </w:rPr>
        <w:t>2022年，</w:t>
      </w:r>
      <w:r>
        <w:rPr>
          <w:rFonts w:hint="eastAsia" w:ascii="Times New Roman" w:hAnsi="Times New Roman" w:eastAsia="方正仿宋简体" w:cs="Times New Roman"/>
          <w:b/>
          <w:bCs w:val="0"/>
          <w:kern w:val="2"/>
          <w:sz w:val="32"/>
          <w:szCs w:val="32"/>
          <w:u w:val="none"/>
          <w:shd w:val="clear" w:color="auto" w:fill="auto"/>
          <w:lang w:val="en-US" w:eastAsia="zh-CN" w:bidi="ar-SA"/>
        </w:rPr>
        <w:t>主动公开政府信息96条，其中主动公开部门文件27条，医保服务信息6条，建议提案办理信息14条，人事财务信息14条，政策解读5条，其他政府信息30条。</w:t>
      </w:r>
    </w:p>
    <w:p>
      <w:pPr>
        <w:spacing w:line="590" w:lineRule="exact"/>
        <w:ind w:right="-105" w:rightChars="-50" w:firstLine="643" w:firstLineChars="200"/>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（二）依申请公开</w:t>
      </w:r>
      <w:r>
        <w:rPr>
          <w:rFonts w:hint="eastAsia" w:ascii="方正楷体简体" w:eastAsia="方正楷体简体"/>
          <w:b/>
          <w:color w:val="000000" w:themeColor="text1"/>
          <w:sz w:val="32"/>
          <w:szCs w:val="32"/>
          <w:lang w:val="en-US" w:eastAsia="zh-CN"/>
          <w14:textFill>
            <w14:solidFill>
              <w14:schemeClr w14:val="tx1"/>
            </w14:solidFill>
          </w14:textFill>
        </w:rPr>
        <w:t>工作方面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right="0" w:firstLine="643" w:firstLineChars="200"/>
        <w:jc w:val="left"/>
        <w:rPr>
          <w:rFonts w:hint="eastAsia" w:ascii="微软雅黑" w:hAnsi="微软雅黑" w:eastAsia="微软雅黑" w:cs="微软雅黑"/>
          <w:i w:val="0"/>
          <w:iCs w:val="0"/>
          <w:caps w:val="0"/>
          <w:color w:val="333333"/>
          <w:spacing w:val="0"/>
          <w:sz w:val="19"/>
          <w:szCs w:val="19"/>
        </w:rPr>
      </w:pPr>
      <w:r>
        <w:rPr>
          <w:rFonts w:hint="eastAsia" w:ascii="方正仿宋简体" w:hAnsi="文星仿宋" w:eastAsia="方正仿宋简体" w:cs="方正仿宋简体"/>
          <w:b/>
          <w:sz w:val="32"/>
          <w:szCs w:val="32"/>
          <w:lang w:eastAsia="zh-CN"/>
        </w:rPr>
        <w:t>增强开展依申请公开工作的服务意识，显著提升依申请公开答复的及时性和有效性，</w:t>
      </w:r>
      <w:r>
        <w:rPr>
          <w:rFonts w:hint="eastAsia" w:ascii="Times New Roman" w:hAnsi="Times New Roman" w:eastAsia="方正仿宋简体" w:cs="Times New Roman"/>
          <w:b/>
          <w:bCs w:val="0"/>
          <w:kern w:val="2"/>
          <w:sz w:val="32"/>
          <w:szCs w:val="32"/>
          <w:lang w:val="en-US" w:eastAsia="zh-CN" w:bidi="ar-SA"/>
        </w:rPr>
        <w:t>进一步拓宽受理渠道，通过市局网站向社会公开依申请公开当面申请、信函申请、网上申请等渠道，为申请人提供便捷服务；建立规范的办理流程，做好依申请公开接收、登记、办理、调查、答复等各个环节工作，依法依规答复。</w:t>
      </w:r>
      <w:r>
        <w:rPr>
          <w:rFonts w:hint="default" w:ascii="Times New Roman" w:hAnsi="Times New Roman" w:eastAsia="方正仿宋简体" w:cs="Times New Roman"/>
          <w:b/>
          <w:bCs w:val="0"/>
          <w:kern w:val="2"/>
          <w:sz w:val="32"/>
          <w:szCs w:val="32"/>
          <w:lang w:val="en-US" w:eastAsia="zh-CN" w:bidi="ar-SA"/>
        </w:rPr>
        <w:t>202</w:t>
      </w:r>
      <w:r>
        <w:rPr>
          <w:rFonts w:hint="eastAsia" w:ascii="Times New Roman" w:hAnsi="Times New Roman" w:eastAsia="方正仿宋简体" w:cs="Times New Roman"/>
          <w:b/>
          <w:bCs w:val="0"/>
          <w:kern w:val="2"/>
          <w:sz w:val="32"/>
          <w:szCs w:val="32"/>
          <w:lang w:val="en-US" w:eastAsia="zh-CN" w:bidi="ar-SA"/>
        </w:rPr>
        <w:t>2年，共受理依申请公开</w:t>
      </w:r>
      <w:r>
        <w:rPr>
          <w:rFonts w:hint="default" w:ascii="Times New Roman" w:hAnsi="Times New Roman" w:eastAsia="方正仿宋简体" w:cs="Times New Roman"/>
          <w:b/>
          <w:bCs w:val="0"/>
          <w:kern w:val="2"/>
          <w:sz w:val="32"/>
          <w:szCs w:val="32"/>
          <w:lang w:val="en-US" w:eastAsia="zh-CN" w:bidi="ar-SA"/>
        </w:rPr>
        <w:t>1</w:t>
      </w:r>
      <w:r>
        <w:rPr>
          <w:rFonts w:hint="eastAsia" w:ascii="Times New Roman" w:hAnsi="Times New Roman" w:eastAsia="方正仿宋简体" w:cs="Times New Roman"/>
          <w:b/>
          <w:bCs w:val="0"/>
          <w:kern w:val="2"/>
          <w:sz w:val="32"/>
          <w:szCs w:val="32"/>
          <w:lang w:val="en-US" w:eastAsia="zh-CN" w:bidi="ar-SA"/>
        </w:rPr>
        <w:t>件，已在法定期限内予以答复，未收到以政府信息公开为由提起的行政诉讼。</w:t>
      </w:r>
      <w:r>
        <w:rPr>
          <w:rFonts w:hint="default" w:ascii="Times New Roman" w:hAnsi="Times New Roman" w:eastAsia="方正仿宋简体" w:cs="Times New Roman"/>
          <w:b/>
          <w:bCs w:val="0"/>
          <w:kern w:val="2"/>
          <w:sz w:val="32"/>
          <w:szCs w:val="32"/>
          <w:lang w:val="en-US" w:eastAsia="zh-CN" w:bidi="ar-SA"/>
        </w:rPr>
        <w:t>202</w:t>
      </w:r>
      <w:r>
        <w:rPr>
          <w:rFonts w:hint="eastAsia" w:ascii="Times New Roman" w:hAnsi="Times New Roman" w:eastAsia="方正仿宋简体" w:cs="Times New Roman"/>
          <w:b/>
          <w:bCs w:val="0"/>
          <w:kern w:val="2"/>
          <w:sz w:val="32"/>
          <w:szCs w:val="32"/>
          <w:lang w:val="en-US" w:eastAsia="zh-CN" w:bidi="ar-SA"/>
        </w:rPr>
        <w:t>2年，政府信息公开申请未向申请人收取任何费用。</w:t>
      </w:r>
    </w:p>
    <w:p>
      <w:pPr>
        <w:spacing w:line="590" w:lineRule="exact"/>
        <w:ind w:right="-105" w:rightChars="-50" w:firstLine="643" w:firstLineChars="200"/>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（三）政府信息管理</w:t>
      </w:r>
      <w:r>
        <w:rPr>
          <w:rFonts w:hint="eastAsia" w:ascii="方正楷体简体" w:eastAsia="方正楷体简体"/>
          <w:b/>
          <w:color w:val="000000" w:themeColor="text1"/>
          <w:sz w:val="32"/>
          <w:szCs w:val="32"/>
          <w:lang w:val="en-US" w:eastAsia="zh-CN"/>
          <w14:textFill>
            <w14:solidFill>
              <w14:schemeClr w14:val="tx1"/>
            </w14:solidFill>
          </w14:textFill>
        </w:rPr>
        <w:t>方面</w:t>
      </w:r>
    </w:p>
    <w:p>
      <w:pPr>
        <w:spacing w:line="560" w:lineRule="exact"/>
        <w:ind w:firstLine="643" w:firstLineChars="200"/>
        <w:rPr>
          <w:rFonts w:hint="eastAsia" w:ascii="仿宋_GB2312" w:hAnsi="仿宋_GB2312" w:eastAsia="仿宋_GB2312" w:cs="仿宋_GB2312"/>
          <w:sz w:val="32"/>
          <w:szCs w:val="32"/>
        </w:rPr>
      </w:pPr>
      <w:r>
        <w:rPr>
          <w:rFonts w:hint="eastAsia" w:ascii="方正仿宋简体" w:hAnsi="文星仿宋" w:eastAsia="方正仿宋简体" w:cs="方正仿宋简体"/>
          <w:b/>
          <w:sz w:val="32"/>
          <w:szCs w:val="32"/>
          <w:lang w:eastAsia="zh-CN"/>
        </w:rPr>
        <w:t>进一步明确政务公开内容和要求，拓展政府信息公开的广度和深度，紧扣全市经济发展大局做好医疗保险、医疗救助信息公开；严格落实公共企事业单位信息公开制度，</w:t>
      </w:r>
      <w:r>
        <w:rPr>
          <w:rFonts w:hint="eastAsia" w:ascii="方正仿宋简体" w:hAnsi="文星仿宋" w:eastAsia="方正仿宋简体" w:cs="方正仿宋简体"/>
          <w:b/>
          <w:sz w:val="32"/>
          <w:szCs w:val="32"/>
          <w:lang w:val="en-US" w:eastAsia="zh-CN"/>
        </w:rPr>
        <w:t>不断调整充实主动公开目录，</w:t>
      </w:r>
      <w:r>
        <w:rPr>
          <w:rFonts w:hint="eastAsia" w:ascii="方正仿宋简体" w:hAnsi="文星仿宋" w:eastAsia="方正仿宋简体" w:cs="方正仿宋简体"/>
          <w:b/>
          <w:sz w:val="32"/>
          <w:szCs w:val="32"/>
          <w:lang w:eastAsia="zh-CN"/>
        </w:rPr>
        <w:t>规范公开相关信息。</w:t>
      </w:r>
      <w:r>
        <w:rPr>
          <w:rFonts w:hint="default" w:ascii="Times New Roman" w:hAnsi="Times New Roman" w:eastAsia="方正仿宋简体" w:cs="Times New Roman"/>
          <w:b/>
          <w:sz w:val="32"/>
          <w:szCs w:val="32"/>
          <w:lang w:val="en-US" w:eastAsia="zh-CN"/>
        </w:rPr>
        <w:t>2022</w:t>
      </w:r>
      <w:r>
        <w:rPr>
          <w:rFonts w:hint="eastAsia" w:ascii="方正仿宋简体" w:hAnsi="文星仿宋" w:eastAsia="方正仿宋简体" w:cs="方正仿宋简体"/>
          <w:b/>
          <w:sz w:val="32"/>
          <w:szCs w:val="32"/>
          <w:lang w:val="en-US" w:eastAsia="zh-CN"/>
        </w:rPr>
        <w:t>年，共编制</w:t>
      </w:r>
      <w:r>
        <w:rPr>
          <w:rFonts w:hint="eastAsia" w:ascii="Times New Roman" w:hAnsi="Times New Roman" w:eastAsia="方正仿宋简体" w:cs="Times New Roman"/>
          <w:b/>
          <w:sz w:val="32"/>
          <w:szCs w:val="32"/>
          <w:lang w:val="en-US" w:eastAsia="zh-CN"/>
        </w:rPr>
        <w:t>12</w:t>
      </w:r>
      <w:r>
        <w:rPr>
          <w:rFonts w:hint="eastAsia" w:ascii="方正仿宋简体" w:hAnsi="文星仿宋" w:eastAsia="方正仿宋简体" w:cs="方正仿宋简体"/>
          <w:b/>
          <w:sz w:val="32"/>
          <w:szCs w:val="32"/>
          <w:lang w:val="en-US" w:eastAsia="zh-CN"/>
        </w:rPr>
        <w:t>类</w:t>
      </w:r>
      <w:r>
        <w:rPr>
          <w:rFonts w:hint="eastAsia" w:ascii="Times New Roman" w:hAnsi="Times New Roman" w:eastAsia="方正仿宋简体" w:cs="Times New Roman"/>
          <w:b/>
          <w:sz w:val="32"/>
          <w:szCs w:val="32"/>
          <w:lang w:val="en-US" w:eastAsia="zh-CN"/>
        </w:rPr>
        <w:t>30</w:t>
      </w:r>
      <w:r>
        <w:rPr>
          <w:rFonts w:hint="eastAsia" w:ascii="方正仿宋简体" w:hAnsi="文星仿宋" w:eastAsia="方正仿宋简体" w:cs="方正仿宋简体"/>
          <w:b/>
          <w:sz w:val="32"/>
          <w:szCs w:val="32"/>
          <w:lang w:val="en-US" w:eastAsia="zh-CN"/>
        </w:rPr>
        <w:t>个一级公开目录。严格落实政府信息公开保密审查制度，坚持“先审查，后公开”原则，对</w:t>
      </w:r>
      <w:r>
        <w:rPr>
          <w:rFonts w:hint="eastAsia" w:ascii="Times New Roman" w:hAnsi="Times New Roman" w:eastAsia="方正仿宋简体" w:cs="Times New Roman"/>
          <w:b/>
          <w:bCs w:val="0"/>
          <w:kern w:val="2"/>
          <w:sz w:val="32"/>
          <w:szCs w:val="32"/>
          <w:u w:val="none"/>
          <w:shd w:val="clear" w:color="auto" w:fill="auto"/>
          <w:lang w:val="en-US" w:eastAsia="zh-CN" w:bidi="ar-SA"/>
        </w:rPr>
        <w:t>主动公开的96条政府信息都逐一进行了保密审查</w:t>
      </w:r>
      <w:r>
        <w:rPr>
          <w:rFonts w:hint="eastAsia" w:ascii="方正仿宋简体" w:hAnsi="文星仿宋" w:eastAsia="方正仿宋简体" w:cs="方正仿宋简体"/>
          <w:b/>
          <w:sz w:val="32"/>
          <w:szCs w:val="32"/>
          <w:lang w:eastAsia="zh-CN"/>
        </w:rPr>
        <w:t>。</w:t>
      </w:r>
    </w:p>
    <w:p>
      <w:pPr>
        <w:spacing w:line="590" w:lineRule="exact"/>
        <w:ind w:right="-105" w:rightChars="-50" w:firstLine="643" w:firstLineChars="200"/>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（四）平台建设</w:t>
      </w:r>
      <w:r>
        <w:rPr>
          <w:rFonts w:hint="eastAsia" w:ascii="方正楷体简体" w:eastAsia="方正楷体简体"/>
          <w:b/>
          <w:color w:val="000000" w:themeColor="text1"/>
          <w:sz w:val="32"/>
          <w:szCs w:val="32"/>
          <w:lang w:val="en-US" w:eastAsia="zh-CN"/>
          <w14:textFill>
            <w14:solidFill>
              <w14:schemeClr w14:val="tx1"/>
            </w14:solidFill>
          </w14:textFill>
        </w:rPr>
        <w:t>方面</w:t>
      </w:r>
    </w:p>
    <w:p>
      <w:pPr>
        <w:spacing w:line="590" w:lineRule="exact"/>
        <w:ind w:right="-105" w:rightChars="-50" w:firstLine="643" w:firstLineChars="200"/>
        <w:rPr>
          <w:rFonts w:hint="eastAsia" w:eastAsia="方正仿宋简体" w:cs="Times New Roman"/>
          <w:b/>
          <w:bCs w:val="0"/>
          <w:kern w:val="2"/>
          <w:sz w:val="32"/>
          <w:szCs w:val="32"/>
          <w:lang w:val="en-US" w:eastAsia="zh-CN" w:bidi="ar-SA"/>
        </w:rPr>
      </w:pPr>
      <w:r>
        <w:rPr>
          <w:rFonts w:hint="eastAsia" w:eastAsia="方正仿宋简体" w:cs="Times New Roman"/>
          <w:b/>
          <w:bCs w:val="0"/>
          <w:kern w:val="2"/>
          <w:sz w:val="32"/>
          <w:szCs w:val="32"/>
          <w:lang w:val="en-US" w:eastAsia="zh-CN" w:bidi="ar-SA"/>
        </w:rPr>
        <w:t>整合线上市局网站、“济宁医疗保障”微信公众号，线下政务公开体验区资源，</w:t>
      </w:r>
      <w:r>
        <w:rPr>
          <w:rFonts w:hint="eastAsia" w:ascii="Times New Roman" w:hAnsi="Times New Roman" w:eastAsia="方正仿宋简体" w:cs="Times New Roman"/>
          <w:b/>
          <w:bCs w:val="0"/>
          <w:kern w:val="2"/>
          <w:sz w:val="32"/>
          <w:szCs w:val="32"/>
          <w:lang w:val="en-US" w:eastAsia="zh-CN" w:bidi="ar-SA"/>
        </w:rPr>
        <w:t>不断强化</w:t>
      </w:r>
      <w:r>
        <w:rPr>
          <w:rFonts w:hint="eastAsia" w:eastAsia="方正仿宋简体" w:cs="Times New Roman"/>
          <w:b/>
          <w:bCs w:val="0"/>
          <w:kern w:val="2"/>
          <w:sz w:val="32"/>
          <w:szCs w:val="32"/>
          <w:lang w:val="en-US" w:eastAsia="zh-CN" w:bidi="ar-SA"/>
        </w:rPr>
        <w:t>济宁医保政府信息公开及政策解读</w:t>
      </w:r>
      <w:r>
        <w:rPr>
          <w:rFonts w:hint="eastAsia" w:ascii="Times New Roman" w:hAnsi="Times New Roman" w:eastAsia="方正仿宋简体" w:cs="Times New Roman"/>
          <w:b/>
          <w:bCs w:val="0"/>
          <w:kern w:val="2"/>
          <w:sz w:val="32"/>
          <w:szCs w:val="32"/>
          <w:lang w:val="en-US" w:eastAsia="zh-CN" w:bidi="ar-SA"/>
        </w:rPr>
        <w:t>发布阵地建设</w:t>
      </w:r>
      <w:r>
        <w:rPr>
          <w:rFonts w:hint="eastAsia" w:eastAsia="方正仿宋简体" w:cs="Times New Roman"/>
          <w:b/>
          <w:bCs w:val="0"/>
          <w:kern w:val="2"/>
          <w:sz w:val="32"/>
          <w:szCs w:val="32"/>
          <w:lang w:val="en-US" w:eastAsia="zh-CN" w:bidi="ar-SA"/>
        </w:rPr>
        <w:t>。</w:t>
      </w:r>
    </w:p>
    <w:p>
      <w:pPr>
        <w:spacing w:line="590" w:lineRule="exact"/>
        <w:ind w:right="-105" w:rightChars="-50" w:firstLine="643" w:firstLineChars="200"/>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（五）监督保障</w:t>
      </w:r>
      <w:r>
        <w:rPr>
          <w:rFonts w:hint="eastAsia" w:ascii="方正楷体简体" w:eastAsia="方正楷体简体"/>
          <w:b/>
          <w:color w:val="000000" w:themeColor="text1"/>
          <w:sz w:val="32"/>
          <w:szCs w:val="32"/>
          <w:lang w:val="en-US" w:eastAsia="zh-CN"/>
          <w14:textFill>
            <w14:solidFill>
              <w14:schemeClr w14:val="tx1"/>
            </w14:solidFill>
          </w14:textFill>
        </w:rPr>
        <w:t>方面</w:t>
      </w:r>
    </w:p>
    <w:p>
      <w:pPr>
        <w:spacing w:line="560" w:lineRule="exact"/>
        <w:ind w:firstLine="643" w:firstLineChars="200"/>
        <w:rPr>
          <w:rFonts w:hint="eastAsia" w:ascii="Times New Roman" w:hAnsi="Times New Roman" w:eastAsia="方正仿宋简体" w:cs="Times New Roman"/>
          <w:b/>
          <w:bCs w:val="0"/>
          <w:kern w:val="2"/>
          <w:sz w:val="32"/>
          <w:szCs w:val="32"/>
          <w:lang w:val="en-US" w:eastAsia="zh-CN" w:bidi="ar-SA"/>
        </w:rPr>
      </w:pPr>
      <w:r>
        <w:rPr>
          <w:rFonts w:hint="eastAsia" w:ascii="Times New Roman" w:hAnsi="Times New Roman" w:eastAsia="方正仿宋简体" w:cs="Times New Roman"/>
          <w:b/>
          <w:bCs w:val="0"/>
          <w:kern w:val="2"/>
          <w:sz w:val="32"/>
          <w:szCs w:val="32"/>
          <w:lang w:val="en-US" w:eastAsia="zh-CN" w:bidi="ar-SA"/>
        </w:rPr>
        <w:t>2022年11月29日召开全市医保系统政务公开工作培训会议，邀请我市政务公开领域专家进行业务培训，进一步提高全市医保系统政务公开工作业务能力，促进政务公开标准化、规范化。会议以视频会议形式召开，全市医保系统政务公开工作分管领导和工作人员60余人参会。</w:t>
      </w:r>
    </w:p>
    <w:p>
      <w:pPr>
        <w:spacing w:line="560" w:lineRule="exact"/>
        <w:ind w:firstLine="643" w:firstLineChars="200"/>
        <w:rPr>
          <w:rFonts w:hint="eastAsia" w:ascii="方正黑体简体" w:hAnsi="方正黑体简体" w:eastAsia="方正黑体简体" w:cs="方正黑体简体"/>
          <w:b/>
          <w:i w:val="0"/>
          <w:caps w:val="0"/>
          <w:color w:val="auto"/>
          <w:spacing w:val="0"/>
          <w:sz w:val="32"/>
          <w:szCs w:val="32"/>
          <w:shd w:val="clear" w:fill="FFFFFF"/>
        </w:rPr>
      </w:pPr>
      <w:r>
        <w:rPr>
          <w:rFonts w:hint="eastAsia" w:ascii="方正黑体简体" w:hAnsi="方正黑体简体" w:eastAsia="方正黑体简体" w:cs="方正黑体简体"/>
          <w:b/>
          <w:i w:val="0"/>
          <w:caps w:val="0"/>
          <w:color w:val="auto"/>
          <w:spacing w:val="0"/>
          <w:sz w:val="32"/>
          <w:szCs w:val="32"/>
          <w:shd w:val="clear" w:fill="FFFFFF"/>
        </w:rPr>
        <w:t>二、主动公开政府信息情况</w:t>
      </w:r>
    </w:p>
    <w:tbl>
      <w:tblPr>
        <w:tblStyle w:val="10"/>
        <w:tblW w:w="8824" w:type="dxa"/>
        <w:tblInd w:w="0" w:type="dxa"/>
        <w:tblLayout w:type="fixed"/>
        <w:tblCellMar>
          <w:top w:w="0" w:type="dxa"/>
          <w:left w:w="108" w:type="dxa"/>
          <w:bottom w:w="0" w:type="dxa"/>
          <w:right w:w="108" w:type="dxa"/>
        </w:tblCellMar>
      </w:tblPr>
      <w:tblGrid>
        <w:gridCol w:w="2206"/>
        <w:gridCol w:w="2206"/>
        <w:gridCol w:w="2206"/>
        <w:gridCol w:w="2206"/>
      </w:tblGrid>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Calibri" w:eastAsia="仿宋_GB2312" w:cs="Calibri"/>
                <w:color w:val="auto"/>
                <w:kern w:val="0"/>
                <w:szCs w:val="21"/>
              </w:rPr>
            </w:pPr>
            <w:r>
              <w:rPr>
                <w:rFonts w:hint="eastAsia" w:ascii="仿宋_GB2312" w:hAnsi="宋体" w:eastAsia="仿宋_GB2312" w:cs="宋体"/>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3</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_GB2312" w:hAnsi="Calibri" w:eastAsia="仿宋_GB2312" w:cs="Calibri"/>
                <w:color w:val="000000"/>
                <w:kern w:val="0"/>
                <w:szCs w:val="21"/>
                <w:lang w:val="en-US" w:eastAsia="zh-CN"/>
              </w:rPr>
            </w:pPr>
            <w:r>
              <w:rPr>
                <w:rFonts w:hint="eastAsia" w:ascii="仿宋_GB2312" w:hAnsi="宋体" w:eastAsia="仿宋_GB2312" w:cs="宋体"/>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　23</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　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_GB2312" w:hAnsi="Calibri" w:eastAsia="仿宋_GB2312" w:cs="Calibri"/>
                <w:color w:val="000000"/>
                <w:kern w:val="0"/>
                <w:szCs w:val="21"/>
                <w:lang w:eastAsia="zh-CN"/>
              </w:rPr>
            </w:pPr>
            <w:r>
              <w:rPr>
                <w:rFonts w:hint="eastAsia" w:ascii="仿宋_GB2312" w:hAnsi="宋体" w:eastAsia="仿宋_GB2312" w:cs="宋体"/>
                <w:color w:val="auto"/>
                <w:kern w:val="0"/>
                <w:szCs w:val="21"/>
                <w:lang w:val="en-US" w:eastAsia="zh-CN"/>
              </w:rPr>
              <w:t>　0</w:t>
            </w:r>
          </w:p>
        </w:tc>
      </w:tr>
    </w:tbl>
    <w:p>
      <w:pPr>
        <w:spacing w:line="560" w:lineRule="exact"/>
        <w:ind w:firstLine="643" w:firstLineChars="200"/>
        <w:rPr>
          <w:rFonts w:hint="eastAsia" w:ascii="方正黑体简体" w:hAnsi="方正黑体简体" w:eastAsia="方正黑体简体" w:cs="方正黑体简体"/>
          <w:b/>
          <w:i w:val="0"/>
          <w:caps w:val="0"/>
          <w:color w:val="auto"/>
          <w:spacing w:val="0"/>
          <w:sz w:val="32"/>
          <w:szCs w:val="32"/>
          <w:shd w:val="clear" w:fill="FFFFFF"/>
          <w:lang w:val="en-US" w:eastAsia="zh-CN"/>
        </w:rPr>
      </w:pPr>
      <w:r>
        <w:rPr>
          <w:rFonts w:hint="eastAsia" w:ascii="方正黑体简体" w:hAnsi="方正黑体简体" w:eastAsia="方正黑体简体" w:cs="方正黑体简体"/>
          <w:b/>
          <w:i w:val="0"/>
          <w:caps w:val="0"/>
          <w:color w:val="auto"/>
          <w:spacing w:val="0"/>
          <w:sz w:val="32"/>
          <w:szCs w:val="32"/>
          <w:shd w:val="clear" w:fill="FFFFFF"/>
          <w:lang w:val="en-US" w:eastAsia="zh-CN"/>
        </w:rPr>
        <w:t>三、收到和处理政府信息公开申请情况</w:t>
      </w:r>
    </w:p>
    <w:tbl>
      <w:tblPr>
        <w:tblStyle w:val="10"/>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747"/>
        <w:gridCol w:w="5"/>
        <w:gridCol w:w="535"/>
        <w:gridCol w:w="5"/>
        <w:gridCol w:w="535"/>
        <w:gridCol w:w="720"/>
        <w:gridCol w:w="675"/>
        <w:gridCol w:w="525"/>
        <w:gridCol w:w="1"/>
        <w:gridCol w:w="7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448" w:type="dxa"/>
            <w:gridSpan w:val="10"/>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747"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000" w:type="dxa"/>
            <w:gridSpan w:val="7"/>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701" w:type="dxa"/>
            <w:gridSpan w:val="2"/>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747" w:type="dxa"/>
            <w:vMerge w:val="continue"/>
            <w:shd w:val="clear" w:color="auto" w:fill="auto"/>
            <w:tcMar>
              <w:left w:w="108" w:type="dxa"/>
              <w:right w:w="108" w:type="dxa"/>
            </w:tcMar>
            <w:vAlign w:val="center"/>
          </w:tcPr>
          <w:p>
            <w:pPr>
              <w:jc w:val="center"/>
              <w:rPr>
                <w:rFonts w:ascii="黑体" w:hAnsi="黑体" w:eastAsia="黑体"/>
                <w:szCs w:val="21"/>
              </w:rPr>
            </w:pPr>
          </w:p>
        </w:tc>
        <w:tc>
          <w:tcPr>
            <w:tcW w:w="540" w:type="dxa"/>
            <w:gridSpan w:val="2"/>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40" w:type="dxa"/>
            <w:gridSpan w:val="2"/>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20"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675"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25" w:type="dxa"/>
            <w:shd w:val="clear" w:color="auto" w:fill="auto"/>
            <w:tcMar>
              <w:left w:w="108" w:type="dxa"/>
              <w:right w:w="108" w:type="dxa"/>
            </w:tcMar>
            <w:vAlign w:val="center"/>
          </w:tcPr>
          <w:p>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701" w:type="dxa"/>
            <w:gridSpan w:val="2"/>
            <w:vMerge w:val="continue"/>
            <w:shd w:val="clear" w:color="auto" w:fill="auto"/>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1</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二、上年结转政府信息公开申请数量</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（一）予以公开</w:t>
            </w:r>
          </w:p>
        </w:tc>
        <w:tc>
          <w:tcPr>
            <w:tcW w:w="752"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1</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3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26"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752"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3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26"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pPr>
              <w:widowControl/>
              <w:spacing w:line="300" w:lineRule="exact"/>
              <w:ind w:firstLine="21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1</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bl>
    <w:p>
      <w:pPr>
        <w:spacing w:line="560" w:lineRule="exact"/>
        <w:ind w:firstLine="643" w:firstLineChars="200"/>
        <w:rPr>
          <w:rFonts w:hint="eastAsia" w:ascii="方正黑体简体" w:hAnsi="方正黑体简体" w:eastAsia="方正黑体简体" w:cs="方正黑体简体"/>
          <w:b/>
          <w:i w:val="0"/>
          <w:caps w:val="0"/>
          <w:color w:val="auto"/>
          <w:spacing w:val="0"/>
          <w:sz w:val="32"/>
          <w:szCs w:val="32"/>
          <w:shd w:val="clear" w:fill="FFFFFF"/>
          <w:lang w:val="en-US" w:eastAsia="zh-CN"/>
        </w:rPr>
      </w:pPr>
      <w:r>
        <w:rPr>
          <w:rFonts w:hint="eastAsia" w:ascii="方正黑体简体" w:hAnsi="方正黑体简体" w:eastAsia="方正黑体简体" w:cs="方正黑体简体"/>
          <w:b/>
          <w:i w:val="0"/>
          <w:caps w:val="0"/>
          <w:color w:val="auto"/>
          <w:spacing w:val="0"/>
          <w:sz w:val="32"/>
          <w:szCs w:val="32"/>
          <w:shd w:val="clear" w:fill="FFFFFF"/>
          <w:lang w:val="en-US" w:eastAsia="zh-CN"/>
        </w:rPr>
        <w:t>四、政府信息公开行政复议、行政诉讼情况</w:t>
      </w:r>
    </w:p>
    <w:tbl>
      <w:tblPr>
        <w:tblStyle w:val="10"/>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r>
    </w:tbl>
    <w:p>
      <w:pPr>
        <w:spacing w:line="560" w:lineRule="exact"/>
        <w:ind w:firstLine="643" w:firstLineChars="200"/>
        <w:rPr>
          <w:rFonts w:hint="eastAsia" w:ascii="方正黑体简体" w:hAnsi="方正黑体简体" w:eastAsia="方正黑体简体" w:cs="方正黑体简体"/>
          <w:b/>
          <w:i w:val="0"/>
          <w:caps w:val="0"/>
          <w:color w:val="auto"/>
          <w:spacing w:val="0"/>
          <w:sz w:val="32"/>
          <w:szCs w:val="32"/>
          <w:shd w:val="clear" w:fill="FFFFFF"/>
          <w:lang w:val="en-US" w:eastAsia="zh-CN"/>
        </w:rPr>
      </w:pPr>
      <w:r>
        <w:rPr>
          <w:rFonts w:hint="eastAsia" w:ascii="方正黑体简体" w:hAnsi="方正黑体简体" w:eastAsia="方正黑体简体" w:cs="方正黑体简体"/>
          <w:b/>
          <w:i w:val="0"/>
          <w:caps w:val="0"/>
          <w:color w:val="auto"/>
          <w:spacing w:val="0"/>
          <w:sz w:val="32"/>
          <w:szCs w:val="32"/>
          <w:shd w:val="clear" w:fill="FFFFFF"/>
          <w:lang w:val="en-US" w:eastAsia="zh-CN"/>
        </w:rPr>
        <w:t>五、存在的主要问题及改进情况</w:t>
      </w:r>
    </w:p>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643" w:firstLineChars="200"/>
        <w:jc w:val="both"/>
        <w:rPr>
          <w:rFonts w:hint="eastAsia" w:ascii="Times New Roman" w:hAnsi="Times New Roman" w:eastAsia="方正仿宋简体" w:cs="Times New Roman"/>
          <w:b/>
          <w:bCs w:val="0"/>
          <w:kern w:val="2"/>
          <w:sz w:val="32"/>
          <w:szCs w:val="32"/>
          <w:lang w:val="en-US" w:eastAsia="zh-CN" w:bidi="ar-SA"/>
        </w:rPr>
      </w:pPr>
      <w:r>
        <w:rPr>
          <w:rFonts w:hint="eastAsia" w:ascii="方正仿宋简体" w:hAnsi="方正黑体_GBK" w:eastAsia="方正仿宋简体" w:cs="方正黑体_GBK"/>
          <w:b/>
          <w:bCs/>
          <w:sz w:val="32"/>
          <w:szCs w:val="32"/>
          <w:lang w:val="en-US" w:eastAsia="zh-CN"/>
        </w:rPr>
        <w:t>存在问题：</w:t>
      </w:r>
      <w:r>
        <w:rPr>
          <w:rFonts w:hint="eastAsia" w:ascii="Times New Roman" w:hAnsi="Times New Roman" w:eastAsia="方正仿宋简体" w:cs="Times New Roman"/>
          <w:b/>
          <w:bCs w:val="0"/>
          <w:kern w:val="2"/>
          <w:sz w:val="32"/>
          <w:szCs w:val="32"/>
          <w:lang w:val="en-US" w:eastAsia="zh-CN" w:bidi="ar-SA"/>
        </w:rPr>
        <w:t>政策解读形式单一、内容质量不高。</w:t>
      </w:r>
    </w:p>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643" w:firstLineChars="200"/>
        <w:jc w:val="both"/>
        <w:rPr>
          <w:rFonts w:hint="eastAsia" w:ascii="方正仿宋简体" w:hAnsi="方正黑体_GBK" w:eastAsia="方正仿宋简体" w:cs="方正黑体_GBK"/>
          <w:b/>
          <w:bCs/>
          <w:sz w:val="32"/>
          <w:szCs w:val="32"/>
          <w:lang w:val="en-US" w:eastAsia="zh-CN"/>
        </w:rPr>
      </w:pPr>
      <w:r>
        <w:rPr>
          <w:rFonts w:hint="eastAsia" w:ascii="方正仿宋简体" w:hAnsi="方正黑体_GBK" w:eastAsia="方正仿宋简体" w:cs="方正黑体_GBK"/>
          <w:b/>
          <w:bCs/>
          <w:sz w:val="32"/>
          <w:szCs w:val="32"/>
          <w:lang w:val="en-US" w:eastAsia="zh-CN"/>
        </w:rPr>
        <w:t>改进情况：一是丰富解读形式，积极探索图文、电子书、视频、动漫等解读形式，对医保政策要进行形象化、通俗化解读。二是压实主要负责人解读责任，坚持“谁起草、谁解读”“谁解读、谁负责”的原则，将政策性文件与解读方案、解读材料同步组织、同步审签、同步部署。</w:t>
      </w:r>
    </w:p>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643" w:firstLineChars="200"/>
        <w:jc w:val="both"/>
        <w:rPr>
          <w:rFonts w:hint="eastAsia" w:ascii="方正黑体简体" w:hAnsi="方正黑体简体" w:eastAsia="方正黑体简体" w:cs="方正黑体简体"/>
          <w:b/>
          <w:i w:val="0"/>
          <w:caps w:val="0"/>
          <w:color w:val="auto"/>
          <w:spacing w:val="0"/>
          <w:sz w:val="32"/>
          <w:szCs w:val="32"/>
          <w:shd w:val="clear" w:fill="FFFFFF"/>
          <w:lang w:val="en-US" w:eastAsia="zh-CN"/>
        </w:rPr>
      </w:pPr>
      <w:r>
        <w:rPr>
          <w:rFonts w:hint="eastAsia" w:ascii="方正黑体简体" w:hAnsi="方正黑体简体" w:eastAsia="方正黑体简体" w:cs="方正黑体简体"/>
          <w:b/>
          <w:i w:val="0"/>
          <w:caps w:val="0"/>
          <w:color w:val="auto"/>
          <w:spacing w:val="0"/>
          <w:sz w:val="32"/>
          <w:szCs w:val="32"/>
          <w:shd w:val="clear" w:fill="FFFFFF"/>
          <w:lang w:val="en-US" w:eastAsia="zh-CN"/>
        </w:rPr>
        <w:t>六、其他需要报告的事项</w:t>
      </w:r>
    </w:p>
    <w:p>
      <w:pPr>
        <w:spacing w:line="590" w:lineRule="exact"/>
        <w:ind w:left="630" w:leftChars="300" w:right="-105" w:rightChars="-50" w:firstLine="0" w:firstLineChars="0"/>
        <w:jc w:val="left"/>
        <w:rPr>
          <w:rFonts w:hint="default" w:eastAsia="方正仿宋简体"/>
          <w:lang w:val="en-US" w:eastAsia="zh-CN"/>
        </w:rPr>
      </w:pPr>
      <w:r>
        <w:rPr>
          <w:rStyle w:val="12"/>
          <w:rFonts w:ascii="方正仿宋简体" w:hAnsi="方正仿宋简体" w:eastAsia="方正仿宋简体" w:cs="方正仿宋简体"/>
          <w:i w:val="0"/>
          <w:iCs w:val="0"/>
          <w:caps w:val="0"/>
          <w:color w:val="auto"/>
          <w:spacing w:val="0"/>
          <w:sz w:val="31"/>
          <w:szCs w:val="31"/>
        </w:rPr>
        <w:t>（一）</w:t>
      </w:r>
      <w:r>
        <w:rPr>
          <w:rStyle w:val="12"/>
          <w:rFonts w:hint="default" w:ascii="Times New Roman" w:hAnsi="Times New Roman" w:eastAsia="微软雅黑" w:cs="Times New Roman"/>
          <w:i w:val="0"/>
          <w:iCs w:val="0"/>
          <w:caps w:val="0"/>
          <w:color w:val="auto"/>
          <w:spacing w:val="0"/>
          <w:sz w:val="31"/>
          <w:szCs w:val="31"/>
        </w:rPr>
        <w:t>202</w:t>
      </w:r>
      <w:r>
        <w:rPr>
          <w:rStyle w:val="12"/>
          <w:rFonts w:hint="eastAsia" w:ascii="Times New Roman" w:hAnsi="Times New Roman" w:eastAsia="微软雅黑" w:cs="Times New Roman"/>
          <w:i w:val="0"/>
          <w:iCs w:val="0"/>
          <w:caps w:val="0"/>
          <w:color w:val="auto"/>
          <w:spacing w:val="0"/>
          <w:sz w:val="31"/>
          <w:szCs w:val="31"/>
          <w:lang w:val="en-US" w:eastAsia="zh-CN"/>
        </w:rPr>
        <w:t>2</w:t>
      </w:r>
      <w:r>
        <w:rPr>
          <w:rStyle w:val="12"/>
          <w:rFonts w:hint="eastAsia" w:ascii="方正仿宋简体" w:hAnsi="方正仿宋简体" w:eastAsia="方正仿宋简体" w:cs="方正仿宋简体"/>
          <w:i w:val="0"/>
          <w:iCs w:val="0"/>
          <w:caps w:val="0"/>
          <w:color w:val="auto"/>
          <w:spacing w:val="0"/>
          <w:sz w:val="32"/>
          <w:szCs w:val="32"/>
        </w:rPr>
        <w:t>年度市医疗保障局无收取信息处理费的情况</w:t>
      </w:r>
      <w:r>
        <w:rPr>
          <w:rStyle w:val="12"/>
          <w:rFonts w:hint="eastAsia" w:ascii="方正仿宋简体" w:hAnsi="方正仿宋简体" w:eastAsia="方正仿宋简体" w:cs="方正仿宋简体"/>
          <w:i w:val="0"/>
          <w:iCs w:val="0"/>
          <w:caps w:val="0"/>
          <w:color w:val="auto"/>
          <w:spacing w:val="0"/>
          <w:sz w:val="32"/>
          <w:szCs w:val="32"/>
          <w:lang w:eastAsia="zh-CN"/>
        </w:rPr>
        <w:t>。</w:t>
      </w:r>
    </w:p>
    <w:p>
      <w:pPr>
        <w:spacing w:line="590" w:lineRule="exact"/>
        <w:ind w:right="-105" w:rightChars="-50" w:firstLine="643" w:firstLineChars="200"/>
        <w:jc w:val="left"/>
        <w:rPr>
          <w:rFonts w:hint="eastAsia" w:ascii="Times New Roman" w:hAnsi="Times New Roman" w:eastAsia="方正仿宋简体" w:cs="Times New Roman"/>
          <w:b/>
          <w:sz w:val="32"/>
          <w:szCs w:val="32"/>
          <w:lang w:val="en-US" w:eastAsia="zh-CN"/>
        </w:rPr>
      </w:pPr>
      <w:r>
        <w:rPr>
          <w:rFonts w:hint="eastAsia" w:ascii="Times New Roman" w:hAnsi="Times New Roman" w:eastAsia="方正仿宋简体" w:cs="Times New Roman"/>
          <w:b/>
          <w:sz w:val="32"/>
          <w:szCs w:val="32"/>
        </w:rPr>
        <w:t>（二）202</w:t>
      </w:r>
      <w:r>
        <w:rPr>
          <w:rFonts w:hint="eastAsia" w:ascii="Times New Roman" w:hAnsi="Times New Roman" w:eastAsia="方正仿宋简体" w:cs="Times New Roman"/>
          <w:b/>
          <w:sz w:val="32"/>
          <w:szCs w:val="32"/>
          <w:lang w:val="en-US" w:eastAsia="zh-CN"/>
        </w:rPr>
        <w:t>2</w:t>
      </w:r>
      <w:r>
        <w:rPr>
          <w:rFonts w:hint="eastAsia" w:ascii="Times New Roman" w:hAnsi="Times New Roman" w:eastAsia="方正仿宋简体" w:cs="Times New Roman"/>
          <w:b/>
          <w:sz w:val="32"/>
          <w:szCs w:val="32"/>
        </w:rPr>
        <w:t>年，</w:t>
      </w:r>
      <w:r>
        <w:rPr>
          <w:rFonts w:hint="eastAsia" w:ascii="Times New Roman" w:hAnsi="Times New Roman" w:eastAsia="方正仿宋简体" w:cs="Times New Roman"/>
          <w:b/>
          <w:sz w:val="32"/>
          <w:szCs w:val="32"/>
          <w:lang w:val="en-US" w:eastAsia="zh-CN"/>
        </w:rPr>
        <w:t>市医疗保障局聚焦“稳就业”“保民生”等医保政策，着重解读政策背景、决策依据、出台目的、重要举措等，推进医保行政决策、执行、管理、服务和结果全过程公开，细化公开内容，规范公开渠道，确保信息发布及时、准确。</w:t>
      </w:r>
    </w:p>
    <w:p>
      <w:pPr>
        <w:spacing w:line="590" w:lineRule="exact"/>
        <w:ind w:right="-105" w:rightChars="-50" w:firstLine="643" w:firstLineChars="200"/>
        <w:rPr>
          <w:rFonts w:hint="eastAsia" w:ascii="Times New Roman" w:hAnsi="Times New Roman" w:eastAsia="方正仿宋简体" w:cs="Times New Roman"/>
          <w:b/>
          <w:sz w:val="32"/>
          <w:szCs w:val="32"/>
          <w:lang w:val="en-US" w:eastAsia="zh-CN"/>
        </w:rPr>
      </w:pPr>
      <w:r>
        <w:rPr>
          <w:rFonts w:hint="eastAsia" w:ascii="Times New Roman" w:hAnsi="Times New Roman" w:eastAsia="方正仿宋简体" w:cs="Times New Roman"/>
          <w:b/>
          <w:sz w:val="32"/>
          <w:szCs w:val="32"/>
        </w:rPr>
        <w:t>（三）202</w:t>
      </w:r>
      <w:r>
        <w:rPr>
          <w:rFonts w:hint="eastAsia" w:ascii="Times New Roman" w:hAnsi="Times New Roman" w:eastAsia="方正仿宋简体" w:cs="Times New Roman"/>
          <w:b/>
          <w:sz w:val="32"/>
          <w:szCs w:val="32"/>
          <w:lang w:val="en-US" w:eastAsia="zh-CN"/>
        </w:rPr>
        <w:t>2</w:t>
      </w:r>
      <w:r>
        <w:rPr>
          <w:rFonts w:hint="eastAsia" w:ascii="Times New Roman" w:hAnsi="Times New Roman" w:eastAsia="方正仿宋简体" w:cs="Times New Roman"/>
          <w:b/>
          <w:sz w:val="32"/>
          <w:szCs w:val="32"/>
        </w:rPr>
        <w:t>年，</w:t>
      </w:r>
      <w:r>
        <w:rPr>
          <w:rFonts w:hint="eastAsia" w:eastAsia="方正仿宋简体" w:cs="Times New Roman"/>
          <w:b/>
          <w:sz w:val="32"/>
          <w:szCs w:val="32"/>
          <w:lang w:val="en-US" w:eastAsia="zh-CN"/>
        </w:rPr>
        <w:t>市医疗保障局</w:t>
      </w:r>
      <w:r>
        <w:rPr>
          <w:rFonts w:hint="eastAsia" w:ascii="Times New Roman" w:hAnsi="Times New Roman" w:eastAsia="方正仿宋简体" w:cs="Times New Roman"/>
          <w:b/>
          <w:sz w:val="32"/>
          <w:szCs w:val="32"/>
        </w:rPr>
        <w:t>主办人大建议和政协提案共</w:t>
      </w:r>
      <w:r>
        <w:rPr>
          <w:rFonts w:hint="eastAsia" w:ascii="Times New Roman" w:hAnsi="Times New Roman" w:eastAsia="方正仿宋简体" w:cs="Times New Roman"/>
          <w:b/>
          <w:sz w:val="32"/>
          <w:szCs w:val="32"/>
          <w:lang w:val="en-US" w:eastAsia="zh-CN"/>
        </w:rPr>
        <w:t>12</w:t>
      </w:r>
      <w:r>
        <w:rPr>
          <w:rFonts w:hint="eastAsia" w:ascii="Times New Roman" w:hAnsi="Times New Roman" w:eastAsia="方正仿宋简体" w:cs="Times New Roman"/>
          <w:b/>
          <w:sz w:val="32"/>
          <w:szCs w:val="32"/>
        </w:rPr>
        <w:t>件，其中人大建议</w:t>
      </w:r>
      <w:r>
        <w:rPr>
          <w:rFonts w:hint="eastAsia" w:ascii="Times New Roman" w:hAnsi="Times New Roman" w:eastAsia="方正仿宋简体" w:cs="Times New Roman"/>
          <w:b/>
          <w:sz w:val="32"/>
          <w:szCs w:val="32"/>
          <w:lang w:val="en-US" w:eastAsia="zh-CN"/>
        </w:rPr>
        <w:t>3</w:t>
      </w:r>
      <w:r>
        <w:rPr>
          <w:rFonts w:hint="eastAsia" w:ascii="Times New Roman" w:hAnsi="Times New Roman" w:eastAsia="方正仿宋简体" w:cs="Times New Roman"/>
          <w:b/>
          <w:sz w:val="32"/>
          <w:szCs w:val="32"/>
        </w:rPr>
        <w:t>件，政协提案</w:t>
      </w:r>
      <w:r>
        <w:rPr>
          <w:rFonts w:hint="eastAsia" w:ascii="Times New Roman" w:hAnsi="Times New Roman" w:eastAsia="方正仿宋简体" w:cs="Times New Roman"/>
          <w:b/>
          <w:sz w:val="32"/>
          <w:szCs w:val="32"/>
          <w:lang w:val="en-US" w:eastAsia="zh-CN"/>
        </w:rPr>
        <w:t>9</w:t>
      </w:r>
      <w:r>
        <w:rPr>
          <w:rFonts w:hint="eastAsia" w:ascii="Times New Roman" w:hAnsi="Times New Roman" w:eastAsia="方正仿宋简体" w:cs="Times New Roman"/>
          <w:b/>
          <w:sz w:val="32"/>
          <w:szCs w:val="32"/>
        </w:rPr>
        <w:t>件。</w:t>
      </w:r>
      <w:r>
        <w:rPr>
          <w:rFonts w:hint="eastAsia" w:eastAsia="方正仿宋简体" w:cs="Times New Roman"/>
          <w:b/>
          <w:sz w:val="32"/>
          <w:szCs w:val="32"/>
          <w:lang w:val="en-US" w:eastAsia="zh-CN"/>
        </w:rPr>
        <w:t>市</w:t>
      </w:r>
      <w:r>
        <w:rPr>
          <w:rFonts w:hint="eastAsia" w:ascii="Times New Roman" w:hAnsi="Times New Roman" w:eastAsia="方正仿宋简体" w:cs="Times New Roman"/>
          <w:b/>
          <w:sz w:val="32"/>
          <w:szCs w:val="32"/>
          <w:lang w:val="en-US" w:eastAsia="zh-CN"/>
        </w:rPr>
        <w:t>医疗保障局成立了人大建议和政协提案办理工作领导小组，多次召开会议进行安排部署，对承办的建议、</w:t>
      </w:r>
      <w:r>
        <w:rPr>
          <w:rFonts w:hint="eastAsia" w:ascii="Times New Roman" w:hAnsi="Times New Roman" w:eastAsia="方正仿宋简体" w:cs="Times New Roman"/>
          <w:b/>
          <w:sz w:val="32"/>
          <w:szCs w:val="32"/>
        </w:rPr>
        <w:t>提案</w:t>
      </w:r>
      <w:r>
        <w:rPr>
          <w:rFonts w:hint="eastAsia" w:ascii="Times New Roman" w:hAnsi="Times New Roman" w:eastAsia="方正仿宋简体" w:cs="Times New Roman"/>
          <w:b/>
          <w:sz w:val="32"/>
          <w:szCs w:val="32"/>
          <w:lang w:val="en-US" w:eastAsia="zh-CN"/>
        </w:rPr>
        <w:t>，经过梳理分类、分工负责、沟通协调、依规反馈等工作环节，在规定时间内按规定程序全部办理完成。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仿宋_GB2312" w:hAnsi="仿宋_GB2312" w:eastAsia="仿宋_GB2312" w:cs="仿宋_GB2312"/>
          <w:b w:val="0"/>
          <w:bCs w:val="0"/>
          <w:i w:val="0"/>
          <w:caps w:val="0"/>
          <w:color w:val="000000"/>
          <w:spacing w:val="0"/>
          <w:sz w:val="32"/>
          <w:szCs w:val="32"/>
          <w:shd w:val="clear" w:color="auto" w:fill="FFFFFF"/>
          <w:lang w:val="en-US" w:eastAsia="zh-CN"/>
        </w:rPr>
      </w:pPr>
      <w:r>
        <w:rPr>
          <w:rFonts w:hint="eastAsia" w:ascii="Times New Roman" w:hAnsi="Times New Roman" w:eastAsia="方正仿宋简体" w:cs="Times New Roman"/>
          <w:b/>
          <w:sz w:val="32"/>
          <w:szCs w:val="32"/>
        </w:rPr>
        <w:t>（四）202</w:t>
      </w:r>
      <w:r>
        <w:rPr>
          <w:rFonts w:hint="eastAsia" w:ascii="Times New Roman" w:hAnsi="Times New Roman" w:eastAsia="方正仿宋简体" w:cs="Times New Roman"/>
          <w:b/>
          <w:sz w:val="32"/>
          <w:szCs w:val="32"/>
          <w:lang w:val="en-US" w:eastAsia="zh-CN"/>
        </w:rPr>
        <w:t>2</w:t>
      </w:r>
      <w:r>
        <w:rPr>
          <w:rFonts w:hint="eastAsia" w:ascii="Times New Roman" w:hAnsi="Times New Roman" w:eastAsia="方正仿宋简体" w:cs="Times New Roman"/>
          <w:b/>
          <w:sz w:val="32"/>
          <w:szCs w:val="32"/>
        </w:rPr>
        <w:t>年，</w:t>
      </w:r>
      <w:r>
        <w:rPr>
          <w:rFonts w:hint="eastAsia" w:eastAsia="方正仿宋简体" w:cs="Times New Roman"/>
          <w:b/>
          <w:sz w:val="32"/>
          <w:szCs w:val="32"/>
          <w:lang w:val="en-US" w:eastAsia="zh-CN"/>
        </w:rPr>
        <w:t>市医疗保障局</w:t>
      </w:r>
      <w:r>
        <w:rPr>
          <w:rFonts w:hint="eastAsia" w:ascii="Times New Roman" w:hAnsi="Times New Roman" w:eastAsia="方正仿宋简体" w:cs="Times New Roman"/>
          <w:b/>
          <w:bCs w:val="0"/>
          <w:kern w:val="2"/>
          <w:sz w:val="32"/>
          <w:szCs w:val="32"/>
          <w:lang w:val="en-US" w:eastAsia="zh-CN" w:bidi="ar-SA"/>
        </w:rPr>
        <w:t xml:space="preserve">充分利用新闻媒体、微信公众号、市局网站、政务公开体验区等平台，全方位、立体化公开居民职工参保、异地就医等最新医保政策。 </w:t>
      </w:r>
    </w:p>
    <w:p>
      <w:pPr>
        <w:spacing w:line="590" w:lineRule="exact"/>
        <w:ind w:right="-105" w:rightChars="-50" w:firstLine="643" w:firstLineChars="200"/>
        <w:rPr>
          <w:rFonts w:hint="eastAsia"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（五）202</w:t>
      </w:r>
      <w:r>
        <w:rPr>
          <w:rFonts w:hint="eastAsia" w:ascii="Times New Roman" w:hAnsi="Times New Roman" w:eastAsia="方正仿宋简体" w:cs="Times New Roman"/>
          <w:b/>
          <w:sz w:val="32"/>
          <w:szCs w:val="32"/>
          <w:lang w:val="en-US" w:eastAsia="zh-CN"/>
        </w:rPr>
        <w:t>2</w:t>
      </w:r>
      <w:r>
        <w:rPr>
          <w:rFonts w:hint="eastAsia" w:ascii="Times New Roman" w:hAnsi="Times New Roman" w:eastAsia="方正仿宋简体" w:cs="Times New Roman"/>
          <w:b/>
          <w:sz w:val="32"/>
          <w:szCs w:val="32"/>
        </w:rPr>
        <w:t>年度</w:t>
      </w:r>
      <w:r>
        <w:rPr>
          <w:rFonts w:hint="eastAsia" w:eastAsia="方正仿宋简体" w:cs="Times New Roman"/>
          <w:b/>
          <w:sz w:val="32"/>
          <w:szCs w:val="32"/>
          <w:lang w:val="en-US" w:eastAsia="zh-CN"/>
        </w:rPr>
        <w:t>市医疗保障局</w:t>
      </w:r>
      <w:r>
        <w:rPr>
          <w:rFonts w:hint="eastAsia" w:ascii="Times New Roman" w:hAnsi="Times New Roman" w:eastAsia="方正仿宋简体" w:cs="Times New Roman"/>
          <w:b/>
          <w:sz w:val="32"/>
          <w:szCs w:val="32"/>
        </w:rPr>
        <w:t>政府信息公开工作年度报告数据统计无需要</w:t>
      </w:r>
      <w:r>
        <w:rPr>
          <w:rFonts w:hint="eastAsia" w:ascii="Times New Roman" w:hAnsi="Times New Roman" w:eastAsia="方正仿宋简体" w:cs="Times New Roman"/>
          <w:b/>
          <w:sz w:val="32"/>
          <w:szCs w:val="32"/>
          <w:lang w:val="en-US" w:eastAsia="zh-CN"/>
        </w:rPr>
        <w:t>特别</w:t>
      </w:r>
      <w:r>
        <w:rPr>
          <w:rFonts w:hint="eastAsia" w:ascii="Times New Roman" w:hAnsi="Times New Roman" w:eastAsia="方正仿宋简体" w:cs="Times New Roman"/>
          <w:b/>
          <w:sz w:val="32"/>
          <w:szCs w:val="32"/>
        </w:rPr>
        <w:t>说明的事项；</w:t>
      </w:r>
    </w:p>
    <w:p>
      <w:pPr>
        <w:spacing w:line="590" w:lineRule="exact"/>
        <w:ind w:right="-105" w:rightChars="-50" w:firstLine="643" w:firstLineChars="200"/>
        <w:rPr>
          <w:rFonts w:hint="eastAsia"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（六）202</w:t>
      </w:r>
      <w:r>
        <w:rPr>
          <w:rFonts w:hint="eastAsia" w:ascii="Times New Roman" w:hAnsi="Times New Roman" w:eastAsia="方正仿宋简体" w:cs="Times New Roman"/>
          <w:b/>
          <w:sz w:val="32"/>
          <w:szCs w:val="32"/>
          <w:lang w:val="en-US" w:eastAsia="zh-CN"/>
        </w:rPr>
        <w:t>2</w:t>
      </w:r>
      <w:r>
        <w:rPr>
          <w:rFonts w:hint="eastAsia" w:ascii="Times New Roman" w:hAnsi="Times New Roman" w:eastAsia="方正仿宋简体" w:cs="Times New Roman"/>
          <w:b/>
          <w:sz w:val="32"/>
          <w:szCs w:val="32"/>
        </w:rPr>
        <w:t>年度</w:t>
      </w:r>
      <w:r>
        <w:rPr>
          <w:rFonts w:hint="eastAsia" w:eastAsia="方正仿宋简体" w:cs="Times New Roman"/>
          <w:b/>
          <w:sz w:val="32"/>
          <w:szCs w:val="32"/>
          <w:lang w:val="en-US" w:eastAsia="zh-CN"/>
        </w:rPr>
        <w:t>市医疗保障局</w:t>
      </w:r>
      <w:r>
        <w:rPr>
          <w:rFonts w:hint="eastAsia" w:ascii="Times New Roman" w:hAnsi="Times New Roman" w:eastAsia="方正仿宋简体" w:cs="Times New Roman"/>
          <w:b/>
          <w:sz w:val="32"/>
          <w:szCs w:val="32"/>
        </w:rPr>
        <w:t>无需要报告的其他事项；</w:t>
      </w:r>
    </w:p>
    <w:p>
      <w:pPr>
        <w:spacing w:line="590" w:lineRule="exact"/>
        <w:ind w:right="-105" w:rightChars="-50" w:firstLine="643" w:firstLineChars="200"/>
      </w:pPr>
      <w:r>
        <w:rPr>
          <w:rFonts w:hint="eastAsia" w:ascii="Times New Roman" w:hAnsi="Times New Roman" w:eastAsia="方正仿宋简体" w:cs="Times New Roman"/>
          <w:b/>
          <w:sz w:val="32"/>
          <w:szCs w:val="32"/>
        </w:rPr>
        <w:t>（七）202</w:t>
      </w:r>
      <w:r>
        <w:rPr>
          <w:rFonts w:hint="eastAsia" w:ascii="Times New Roman" w:hAnsi="Times New Roman" w:eastAsia="方正仿宋简体" w:cs="Times New Roman"/>
          <w:b/>
          <w:sz w:val="32"/>
          <w:szCs w:val="32"/>
          <w:lang w:val="en-US" w:eastAsia="zh-CN"/>
        </w:rPr>
        <w:t>2</w:t>
      </w:r>
      <w:r>
        <w:rPr>
          <w:rFonts w:hint="eastAsia" w:ascii="Times New Roman" w:hAnsi="Times New Roman" w:eastAsia="方正仿宋简体" w:cs="Times New Roman"/>
          <w:b/>
          <w:sz w:val="32"/>
          <w:szCs w:val="32"/>
        </w:rPr>
        <w:t>年度</w:t>
      </w:r>
      <w:r>
        <w:rPr>
          <w:rFonts w:hint="eastAsia" w:eastAsia="方正仿宋简体" w:cs="Times New Roman"/>
          <w:b/>
          <w:sz w:val="32"/>
          <w:szCs w:val="32"/>
          <w:lang w:val="en-US" w:eastAsia="zh-CN"/>
        </w:rPr>
        <w:t>市医疗保障局</w:t>
      </w:r>
      <w:r>
        <w:rPr>
          <w:rFonts w:hint="eastAsia" w:ascii="Times New Roman" w:hAnsi="Times New Roman" w:eastAsia="方正仿宋简体" w:cs="Times New Roman"/>
          <w:b/>
          <w:sz w:val="32"/>
          <w:szCs w:val="32"/>
        </w:rPr>
        <w:t>无其他有关文件专门要求通过政府信息公开工作年度报告予以报告的事项。</w:t>
      </w:r>
      <w:bookmarkStart w:id="10" w:name="_GoBack"/>
      <w:bookmarkEnd w:id="1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decorative"/>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文星仿宋">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decorative"/>
    <w:pitch w:val="default"/>
    <w:sig w:usb0="00000000" w:usb1="0000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jZjY4OTRlOGMxNThhYWJhMzNkMmM1YjZkZDJkMDkifQ=="/>
  </w:docVars>
  <w:rsids>
    <w:rsidRoot w:val="11AF18C8"/>
    <w:rsid w:val="056C584E"/>
    <w:rsid w:val="0D6A52D9"/>
    <w:rsid w:val="0EC22F35"/>
    <w:rsid w:val="11AF18C8"/>
    <w:rsid w:val="17D81F58"/>
    <w:rsid w:val="1A6A77C7"/>
    <w:rsid w:val="1ACF18B8"/>
    <w:rsid w:val="1B11377C"/>
    <w:rsid w:val="1C417273"/>
    <w:rsid w:val="23713D9D"/>
    <w:rsid w:val="24B6415E"/>
    <w:rsid w:val="2D2C3542"/>
    <w:rsid w:val="304776BA"/>
    <w:rsid w:val="337F8D25"/>
    <w:rsid w:val="3CA10E4B"/>
    <w:rsid w:val="40CE6DAF"/>
    <w:rsid w:val="470313A4"/>
    <w:rsid w:val="472F1444"/>
    <w:rsid w:val="5EB04477"/>
    <w:rsid w:val="60997EB4"/>
    <w:rsid w:val="63DF29B1"/>
    <w:rsid w:val="66AD6467"/>
    <w:rsid w:val="6A097686"/>
    <w:rsid w:val="6BD73BF7"/>
    <w:rsid w:val="734B7734"/>
    <w:rsid w:val="77181135"/>
    <w:rsid w:val="7B086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snapToGrid w:val="0"/>
      <w:spacing w:line="640" w:lineRule="exact"/>
      <w:ind w:firstLine="705"/>
    </w:pPr>
    <w:rPr>
      <w:rFonts w:ascii="仿宋_GB2312" w:eastAsia="仿宋_GB2312"/>
      <w:color w:val="000000"/>
      <w:sz w:val="36"/>
      <w:szCs w:val="36"/>
    </w:rPr>
  </w:style>
  <w:style w:type="paragraph" w:styleId="3">
    <w:name w:val="Normal Indent"/>
    <w:basedOn w:val="1"/>
    <w:qFormat/>
    <w:uiPriority w:val="0"/>
    <w:pPr>
      <w:spacing w:line="360" w:lineRule="auto"/>
      <w:ind w:firstLine="420" w:firstLineChars="200"/>
    </w:pPr>
    <w:rPr>
      <w:rFonts w:ascii="Times New Roman" w:hAnsi="Times New Roman" w:eastAsia="宋体" w:cs="Times New Roman"/>
      <w:sz w:val="24"/>
    </w:rPr>
  </w:style>
  <w:style w:type="paragraph" w:styleId="4">
    <w:name w:val="Body Text"/>
    <w:basedOn w:val="1"/>
    <w:qFormat/>
    <w:uiPriority w:val="0"/>
    <w:pPr>
      <w:spacing w:after="120" w:afterLines="0" w:afterAutospacing="0"/>
    </w:pPr>
  </w:style>
  <w:style w:type="paragraph" w:styleId="5">
    <w:name w:val="Body Text Indent"/>
    <w:basedOn w:val="1"/>
    <w:next w:val="3"/>
    <w:qFormat/>
    <w:uiPriority w:val="0"/>
    <w:pPr>
      <w:spacing w:after="120"/>
      <w:ind w:left="420" w:leftChars="2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5"/>
    <w:qFormat/>
    <w:uiPriority w:val="0"/>
    <w:pPr>
      <w:ind w:firstLine="420"/>
    </w:pPr>
    <w:rPr>
      <w:rFonts w:eastAsia="方正仿宋简体" w:cstheme="minorBidi"/>
      <w:sz w:val="32"/>
      <w:szCs w:val="22"/>
    </w:rPr>
  </w:style>
  <w:style w:type="character" w:styleId="12">
    <w:name w:val="Strong"/>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3108</Words>
  <Characters>3276</Characters>
  <Lines>0</Lines>
  <Paragraphs>0</Paragraphs>
  <TotalTime>15</TotalTime>
  <ScaleCrop>false</ScaleCrop>
  <LinksUpToDate>false</LinksUpToDate>
  <CharactersWithSpaces>3363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2023-01-16T15:45:00Z</dcterms:created>
  <dc:creator>诗人与熊</dc:creator>
  <cp:lastModifiedBy>　　无她无爱</cp:lastModifiedBy>
  <cp:lastPrinted>2023-01-16T17:08:00Z</cp:lastPrinted>
  <dcterms:modified xsi:type="dcterms:W3CDTF">2023-01-31T03:19:35Z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1F3540103CE940E9B05CD4EE6BCB0C9C</vt:lpwstr>
  </property>
</Properties>
</file>