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lang w:val="en-US" w:eastAsia="zh-CN"/>
        </w:rPr>
      </w:pPr>
    </w:p>
    <w:p>
      <w:pPr>
        <w:rPr>
          <w:rFonts w:hint="default" w:ascii="Times New Roman" w:hAnsi="Times New Roman" w:cs="Times New Roman"/>
          <w:b/>
          <w:bCs/>
          <w:lang w:val="en-US" w:eastAsia="zh-CN"/>
        </w:rPr>
      </w:pPr>
      <w:r>
        <w:rPr>
          <w:rFonts w:hint="default" w:ascii="Times New Roman" w:hAnsi="Times New Roman" w:cs="Times New Roman"/>
          <w:b/>
          <w:bCs/>
          <w:sz w:val="21"/>
        </w:rPr>
        <mc:AlternateContent>
          <mc:Choice Requires="wps">
            <w:drawing>
              <wp:anchor distT="0" distB="0" distL="114300" distR="114300" simplePos="0" relativeHeight="251658240" behindDoc="0" locked="0" layoutInCell="1" allowOverlap="1">
                <wp:simplePos x="0" y="0"/>
                <wp:positionH relativeFrom="column">
                  <wp:posOffset>-142240</wp:posOffset>
                </wp:positionH>
                <wp:positionV relativeFrom="paragraph">
                  <wp:posOffset>156845</wp:posOffset>
                </wp:positionV>
                <wp:extent cx="5607685" cy="103759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5607685" cy="1037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color w:val="FF0000"/>
                                <w:spacing w:val="-6"/>
                                <w:w w:val="40"/>
                                <w:sz w:val="120"/>
                                <w:szCs w:val="120"/>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b w:val="0"/>
                                <w:bCs/>
                                <w:color w:val="FF0000"/>
                                <w:spacing w:val="-6"/>
                                <w:w w:val="40"/>
                                <w:sz w:val="120"/>
                                <w:szCs w:val="120"/>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clear"/>
                              </w:rPr>
                              <w:t>济宁经济技术开发区疃里镇人民政府文件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pt;margin-top:12.35pt;height:81.7pt;width:441.55pt;mso-wrap-distance-bottom:0pt;mso-wrap-distance-left:9pt;mso-wrap-distance-right:9pt;mso-wrap-distance-top:0pt;z-index:251658240;mso-width-relative:page;mso-height-relative:page;" filled="f" stroked="f" coordsize="21600,21600" o:gfxdata="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3&#10;ZsXt2wAAAAoBAAAPAAAAAAAAAAEAIAAAACIAAABkcnMvZG93bnJldi54bWxQSwECFAAUAAAACACH&#10;TuJAU+XH8iECAAAZBAAADgAAAAAAAAABACAAAAAqAQAAZHJzL2Uyb0RvYy54bWxQSwUGAAAAAAYA&#10;BgBZAQAAvQUAAAAA&#10;">
                <v:fill on="f" focussize="0,0"/>
                <v:stroke on="f" weight="0.5pt"/>
                <v:imagedata o:title=""/>
                <o:lock v:ext="edit" aspectratio="f"/>
                <v:textbox>
                  <w:txbxContent>
                    <w:p>
                      <w:pPr>
                        <w:jc w:val="center"/>
                        <w:rPr>
                          <w:rFonts w:hint="eastAsia" w:ascii="方正小标宋简体" w:hAnsi="方正小标宋简体" w:eastAsia="方正小标宋简体" w:cs="方正小标宋简体"/>
                          <w:b w:val="0"/>
                          <w:bCs/>
                          <w:color w:val="FF0000"/>
                          <w:spacing w:val="-6"/>
                          <w:w w:val="40"/>
                          <w:sz w:val="120"/>
                          <w:szCs w:val="120"/>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b w:val="0"/>
                          <w:bCs/>
                          <w:color w:val="FF0000"/>
                          <w:spacing w:val="-6"/>
                          <w:w w:val="40"/>
                          <w:sz w:val="120"/>
                          <w:szCs w:val="120"/>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clear"/>
                        </w:rPr>
                        <w:t>济宁经济技术开发区疃里镇人民政府文件</w:t>
                      </w:r>
                    </w:p>
                  </w:txbxContent>
                </v:textbox>
                <w10:wrap type="square"/>
              </v:shape>
            </w:pict>
          </mc:Fallback>
        </mc:AlternateContent>
      </w:r>
    </w:p>
    <w:p>
      <w:pPr>
        <w:rPr>
          <w:rFonts w:hint="default" w:ascii="Times New Roman" w:hAnsi="Times New Roman" w:cs="Times New Roman"/>
          <w:b/>
          <w:bCs/>
          <w:lang w:val="en-US" w:eastAsia="zh-CN"/>
        </w:rPr>
      </w:pPr>
    </w:p>
    <w:p>
      <w:pPr>
        <w:jc w:val="center"/>
        <w:rPr>
          <w:rFonts w:hint="default" w:ascii="Times New Roman" w:hAnsi="Times New Roman" w:cs="Times New Roman"/>
          <w:b/>
          <w:bCs/>
          <w:lang w:val="en-US" w:eastAsia="zh-CN"/>
        </w:rPr>
      </w:pPr>
      <w:r>
        <w:rPr>
          <w:rFonts w:hint="default" w:ascii="Times New Roman" w:hAnsi="Times New Roman" w:eastAsia="楷体_GB2312" w:cs="Times New Roman"/>
          <w:b/>
          <w:bCs/>
          <w:sz w:val="32"/>
          <w:szCs w:val="32"/>
          <w:lang w:val="en-US" w:eastAsia="zh-CN"/>
        </w:rPr>
        <w:t>疃政发</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2018</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34</w:t>
      </w:r>
      <w:bookmarkStart w:id="0" w:name="_GoBack"/>
      <w:bookmarkEnd w:id="0"/>
      <w:r>
        <w:rPr>
          <w:rFonts w:hint="default" w:ascii="Times New Roman" w:hAnsi="Times New Roman" w:eastAsia="楷体_GB2312" w:cs="Times New Roman"/>
          <w:b/>
          <w:bCs/>
          <w:sz w:val="32"/>
          <w:szCs w:val="32"/>
          <w:lang w:val="en-US" w:eastAsia="zh-CN"/>
        </w:rPr>
        <w:t>号</w:t>
      </w:r>
    </w:p>
    <w:p>
      <w:pPr>
        <w:rPr>
          <w:rFonts w:hint="default" w:ascii="Times New Roman" w:hAnsi="Times New Roman" w:cs="Times New Roman"/>
          <w:b/>
          <w:bCs/>
          <w:color w:val="FF0000"/>
          <w:u w:val="single"/>
          <w:lang w:val="en-US" w:eastAsia="zh-CN"/>
        </w:rPr>
      </w:pPr>
      <w:r>
        <w:rPr>
          <w:rFonts w:hint="default" w:ascii="Times New Roman" w:hAnsi="Times New Roman" w:cs="Times New Roman"/>
          <w:b/>
          <w:bCs/>
          <w:color w:val="FF0000"/>
          <w:sz w:val="44"/>
          <w:szCs w:val="44"/>
          <w:u w:val="single"/>
          <w:lang w:val="en-US" w:eastAsia="zh-CN"/>
        </w:rPr>
        <w:t xml:space="preserve">                                       </w:t>
      </w:r>
      <w:r>
        <w:rPr>
          <w:rFonts w:hint="default" w:ascii="Times New Roman" w:hAnsi="Times New Roman" w:cs="Times New Roman"/>
          <w:b/>
          <w:bCs/>
          <w:color w:val="FFFFFF" w:themeColor="background1"/>
          <w:sz w:val="44"/>
          <w:szCs w:val="44"/>
          <w:u w:val="single"/>
          <w:lang w:val="en-US" w:eastAsia="zh-CN"/>
          <w14:textFill>
            <w14:solidFill>
              <w14:schemeClr w14:val="bg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159" w:beforeLines="50" w:after="280" w:line="360" w:lineRule="auto"/>
        <w:ind w:left="0" w:leftChars="0" w:right="0" w:rightChars="0"/>
        <w:jc w:val="center"/>
        <w:textAlignment w:val="auto"/>
        <w:outlineLvl w:val="9"/>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疃里镇火灾综合防控治理工作方案</w:t>
      </w:r>
    </w:p>
    <w:p>
      <w:pPr>
        <w:spacing w:after="160" w:line="360" w:lineRule="auto"/>
        <w:rPr>
          <w:rFonts w:ascii="Times New Roman" w:hAnsi="仿宋_GB2312" w:eastAsia="仿宋_GB2312"/>
          <w:sz w:val="32"/>
          <w:szCs w:val="32"/>
        </w:rPr>
      </w:pPr>
      <w:r>
        <w:rPr>
          <w:rFonts w:ascii="Times New Roman" w:hAnsi="仿宋_GB2312" w:eastAsia="仿宋_GB2312"/>
          <w:sz w:val="32"/>
          <w:szCs w:val="32"/>
        </w:rPr>
        <w:t>镇安委会各有关成员单位，各企业：</w:t>
      </w:r>
    </w:p>
    <w:p>
      <w:pPr>
        <w:spacing w:after="160" w:line="360" w:lineRule="auto"/>
        <w:ind w:firstLine="640"/>
        <w:rPr>
          <w:rFonts w:ascii="Times New Roman" w:hAnsi="仿宋_GB2312" w:eastAsia="仿宋_GB2312"/>
          <w:sz w:val="32"/>
          <w:szCs w:val="32"/>
        </w:rPr>
      </w:pPr>
      <w:r>
        <w:rPr>
          <w:rFonts w:ascii="Times New Roman" w:hAnsi="仿宋_GB2312" w:eastAsia="仿宋_GB2312"/>
          <w:sz w:val="32"/>
          <w:szCs w:val="32"/>
        </w:rPr>
        <w:t>为有效遏制火灾高发势头，确保人民群众生命财产安全，根据山东省安委会关于今冬明春火灾防控动员部署会议要求，按照区党工委、管委会安排部署，决定在全镇范围内组织开展火灾综合防控治理工作。制定方案如下：</w:t>
      </w:r>
    </w:p>
    <w:p>
      <w:pPr>
        <w:spacing w:before="120" w:after="120" w:line="360" w:lineRule="auto"/>
        <w:ind w:firstLine="640"/>
        <w:rPr>
          <w:rFonts w:ascii="Times New Roman" w:hAnsi="黑体" w:eastAsia="黑体"/>
          <w:sz w:val="32"/>
          <w:szCs w:val="32"/>
        </w:rPr>
      </w:pPr>
      <w:r>
        <w:rPr>
          <w:rFonts w:ascii="Times New Roman" w:hAnsi="黑体" w:eastAsia="黑体"/>
          <w:sz w:val="32"/>
          <w:szCs w:val="32"/>
        </w:rPr>
        <w:t>一、工作目标</w:t>
      </w:r>
    </w:p>
    <w:p>
      <w:pPr>
        <w:spacing w:after="160" w:line="360" w:lineRule="auto"/>
        <w:ind w:firstLine="640"/>
        <w:rPr>
          <w:rFonts w:ascii="Times New Roman" w:hAnsi="仿宋_GB2312" w:eastAsia="仿宋_GB2312"/>
          <w:sz w:val="32"/>
          <w:szCs w:val="32"/>
        </w:rPr>
      </w:pPr>
      <w:r>
        <w:rPr>
          <w:rFonts w:ascii="Times New Roman" w:hAnsi="仿宋_GB2312" w:eastAsia="仿宋_GB2312"/>
          <w:sz w:val="32"/>
          <w:szCs w:val="32"/>
        </w:rPr>
        <w:t>深入贯彻落实习近平总书记等中央领导同志关于加强公共安全的系列重要指示、批示精神，在各级党委、政府统一领导下，深入开展消防综合治理行动，强化责任落实年，会同相关职能部门，动员社会各方面力量，坚持目标导向与问题导向相结合、现实斗争与基础工作相结合、创新社会消防管理与抓好阶段性工作相结合，切实提升全社会火灾防控水平，确保今冬明春全</w:t>
      </w:r>
      <w:r>
        <w:rPr>
          <w:rFonts w:hint="eastAsia" w:ascii="Times New Roman" w:hAnsi="仿宋_GB2312" w:eastAsia="仿宋_GB2312"/>
          <w:sz w:val="32"/>
          <w:szCs w:val="32"/>
        </w:rPr>
        <w:t>镇</w:t>
      </w:r>
      <w:r>
        <w:rPr>
          <w:rFonts w:ascii="Times New Roman" w:hAnsi="仿宋_GB2312" w:eastAsia="仿宋_GB2312"/>
          <w:sz w:val="32"/>
          <w:szCs w:val="32"/>
        </w:rPr>
        <w:t>不发生较大以上火灾事故，重要时间节点和重大活动期间不发生有影响的火灾事故。</w:t>
      </w:r>
    </w:p>
    <w:p>
      <w:pPr>
        <w:spacing w:before="120" w:after="120" w:line="360" w:lineRule="auto"/>
        <w:ind w:firstLine="640"/>
        <w:rPr>
          <w:rFonts w:ascii="Times New Roman" w:hAnsi="黑体" w:eastAsia="黑体"/>
          <w:sz w:val="32"/>
          <w:szCs w:val="32"/>
        </w:rPr>
      </w:pPr>
      <w:r>
        <w:rPr>
          <w:rFonts w:ascii="Times New Roman" w:hAnsi="黑体" w:eastAsia="黑体"/>
          <w:sz w:val="32"/>
          <w:szCs w:val="32"/>
        </w:rPr>
        <w:t>二、治理内容及工作措施</w:t>
      </w:r>
    </w:p>
    <w:p>
      <w:pPr>
        <w:spacing w:after="160" w:line="360" w:lineRule="auto"/>
        <w:ind w:firstLine="640"/>
        <w:rPr>
          <w:rFonts w:ascii="楷体" w:hAnsi="楷体" w:eastAsia="楷体"/>
          <w:sz w:val="32"/>
          <w:szCs w:val="32"/>
        </w:rPr>
      </w:pPr>
      <w:r>
        <w:rPr>
          <w:rFonts w:ascii="楷体" w:hAnsi="楷体" w:eastAsia="楷体"/>
          <w:sz w:val="32"/>
          <w:szCs w:val="32"/>
        </w:rPr>
        <w:t>（一）全面开展电器产品生产质量综合治理。</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1.全面开展电器生产领域治理。严格落实电器产品生产企业资质审批、认证管理，加大对获证企业的日常监管，严厉查处无证非法生产行为。严查电线电缆、开关插座等生产企业在绝缘材料、阻燃原料、线芯材质、线径等方面不按标准或降低标准生产的违法行为；严查套牌、贴牌生产假冒伪劣产品的违法行为；充分利用信用信息共享平台和企业信用信息系统，及时曝光违法违规企业和不合格电器产品名单，进一步完善电器产品质量源头监管机制，提高管理能力，规范生产秩序。</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 xml:space="preserve">2.全面开展电器产品流通领域治理。加大对电器产品批发市场、销售储存仓库以及销售门店的监督检查力度，对检查中发现的重大问题，及时督促整改，严厉打击销售无证或伪造、冒用认证证书、无厂名、厂址等来源不明和不合格商品违法行为。加强对以网络、直销等方式销售电器产品的监管，把好“线上、线下”电器产品销售质量关。进一步完善电器产品流通领域的监管机制，提高监管效能，营造良好的市场环境。 </w:t>
      </w:r>
    </w:p>
    <w:p>
      <w:pPr>
        <w:spacing w:after="160" w:line="360" w:lineRule="auto"/>
        <w:ind w:firstLine="640"/>
        <w:rPr>
          <w:rFonts w:ascii="楷体" w:hAnsi="楷体" w:eastAsia="楷体"/>
          <w:sz w:val="32"/>
          <w:szCs w:val="32"/>
        </w:rPr>
      </w:pPr>
      <w:r>
        <w:rPr>
          <w:rFonts w:ascii="楷体" w:hAnsi="楷体" w:eastAsia="楷体"/>
          <w:sz w:val="32"/>
          <w:szCs w:val="32"/>
        </w:rPr>
        <w:t>（二）全面开展建设工程领域综合治理。</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3.加强建设工程防火设计质量管理。规范建设工程防火设计，落实工程设计质量终身负责制，严查设计单位不按工程建设强制性标准设计的行为，依法追究因设计不符合标准规范而导致火灾事故的设计单位责任。</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4.加强施工质量管理。落实工程施工质量责任制，严格建筑施工领域使用电器产品及其线路施工进场检查验收。严查施工单位不按设计图纸施工、偷工减料、使用劣质电线及质量不合格电器产品等问题和隐患；严查监理单位不履行施工质量的监理责任，严查质量不合格电器产品在工程上使用和安装；严查施工不规范造成电线绝缘层损坏、电缆井（沟）封堵不严密等隐患问题。依法追究因电气施工质量问题导致火灾事故的施工、监理单位的责任。</w:t>
      </w:r>
    </w:p>
    <w:p>
      <w:pPr>
        <w:overflowPunct w:val="0"/>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5.落实建设单位电气质量管理责任。建设单位不得明示或暗示设计单位或施工单位违反工程建设强制标准，降低电气设计和施工质量。按照合同约定，由建设单位采购有关电气及配套产品的，建设单位应当保证电气及配套产品符合设计文件和合同要求。</w:t>
      </w:r>
    </w:p>
    <w:p>
      <w:pPr>
        <w:spacing w:after="160" w:line="360" w:lineRule="auto"/>
        <w:ind w:firstLine="640"/>
        <w:rPr>
          <w:rFonts w:ascii="楷体" w:hAnsi="楷体" w:eastAsia="楷体"/>
          <w:sz w:val="32"/>
          <w:szCs w:val="32"/>
        </w:rPr>
      </w:pPr>
      <w:r>
        <w:rPr>
          <w:rFonts w:ascii="楷体" w:hAnsi="楷体" w:eastAsia="楷体"/>
          <w:sz w:val="32"/>
          <w:szCs w:val="32"/>
        </w:rPr>
        <w:t>（三）全面开展社会单位综合治理。</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6. 强化人员密集场所消防检查。相关行业主管、监管部门要分别或者联合组织对各类人员密集场所进行全面消防安全检查。督促公共娱乐场所、宾馆饭店、商场市场、养老机构、劳动密集型企业等人员密集场所落实消防安全主体责任，对照“六加一”措施（开展一次消防安全评估、签订一份消防安全承诺书、维护保养一次消防设施、组织检测一次电气和燃气线路设施、全面清洗一次油烟道、集中培训一次全体员工、建立一支志愿消防队）开展火灾隐患自查自改。加强“两人一室一站”（消防安全责任人和管理人、消防控制室、微型消防站）建设和监管，落实“户籍化”管理，提升“四个能力”，提高自防自救水平。督促高层地下建筑、大型综合体等火灾高危单位落实严防严控措施，杜绝群死群伤火灾。</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 xml:space="preserve">7.推动社区安全隐患排查整治。以社区为基本单元，排查社区、企业等现有火灾报警装置是否符合国家有关标准规定，烟感报警器设置位置是否符合规范，线路连接是否符合标准；检查是否存在私拉乱接电线、使用“三无”电器产品等问题。督促落实安全用电管理制度，电工必须持证上岗，定期开展消防安全检查，加强安全用电常识宣传。对整治难度大的区域性消防安全隐患要实行挂牌督办，限期整改，结合政府重点工程和为民办实事项目，重点推进解决。 </w:t>
      </w:r>
    </w:p>
    <w:p>
      <w:pPr>
        <w:spacing w:after="160" w:line="360" w:lineRule="auto"/>
        <w:ind w:firstLine="640"/>
        <w:rPr>
          <w:rFonts w:ascii="楷体" w:hAnsi="楷体" w:eastAsia="楷体"/>
          <w:sz w:val="32"/>
          <w:szCs w:val="32"/>
        </w:rPr>
      </w:pPr>
      <w:r>
        <w:rPr>
          <w:rFonts w:ascii="楷体" w:hAnsi="楷体" w:eastAsia="楷体"/>
          <w:sz w:val="32"/>
          <w:szCs w:val="32"/>
        </w:rPr>
        <w:t>（四） 加强危险化学品消防安全综合治理。</w:t>
      </w:r>
    </w:p>
    <w:p>
      <w:pPr>
        <w:autoSpaceDE w:val="0"/>
        <w:snapToGrid w:val="0"/>
        <w:spacing w:after="160" w:line="360" w:lineRule="auto"/>
        <w:ind w:firstLine="646"/>
        <w:rPr>
          <w:rFonts w:ascii="仿宋_GB2312" w:hAnsi="仿宋_GB2312" w:eastAsia="仿宋_GB2312"/>
          <w:sz w:val="32"/>
          <w:szCs w:val="32"/>
        </w:rPr>
      </w:pPr>
      <w:r>
        <w:rPr>
          <w:rFonts w:ascii="仿宋_GB2312" w:hAnsi="仿宋_GB2312" w:eastAsia="仿宋_GB2312"/>
          <w:sz w:val="32"/>
          <w:szCs w:val="32"/>
        </w:rPr>
        <w:t>8.按照省政府办公厅危险化学品安全综合治理部署要求，结合市公安局印发的《全市危险化学品消防安全专项治理活动实施方案》，组织对石化企业集中和危化品事故高发区域开展消防安全风险评估。依法对易燃易爆危险品生产、储存、经营单位履行消防安全职责、消防设施完好有效等情况实施监督检查。督促指导大型易燃易爆危险品企业建立专职消防队和工艺处置技术小组，提高专业处置能力。</w:t>
      </w:r>
    </w:p>
    <w:p>
      <w:pPr>
        <w:spacing w:before="120" w:after="120" w:line="360" w:lineRule="auto"/>
        <w:ind w:firstLine="640"/>
        <w:rPr>
          <w:rFonts w:ascii="Times New Roman" w:hAnsi="黑体" w:eastAsia="黑体"/>
          <w:sz w:val="32"/>
          <w:szCs w:val="32"/>
        </w:rPr>
      </w:pPr>
      <w:r>
        <w:rPr>
          <w:rFonts w:ascii="Times New Roman" w:hAnsi="黑体" w:eastAsia="黑体"/>
          <w:sz w:val="32"/>
          <w:szCs w:val="32"/>
        </w:rPr>
        <w:t>三、治理时间和步骤</w:t>
      </w:r>
    </w:p>
    <w:p>
      <w:pPr>
        <w:autoSpaceDE w:val="0"/>
        <w:snapToGrid w:val="0"/>
        <w:spacing w:after="160" w:line="360" w:lineRule="auto"/>
        <w:ind w:firstLine="646"/>
        <w:rPr>
          <w:rFonts w:ascii="仿宋_GB2312" w:hAnsi="仿宋_GB2312" w:eastAsia="仿宋_GB2312"/>
          <w:sz w:val="32"/>
          <w:szCs w:val="32"/>
        </w:rPr>
      </w:pPr>
      <w:r>
        <w:rPr>
          <w:rFonts w:ascii="仿宋_GB2312" w:hAnsi="仿宋_GB2312" w:eastAsia="仿宋_GB2312"/>
          <w:sz w:val="32"/>
          <w:szCs w:val="32"/>
        </w:rPr>
        <w:t>2018年10月30日开始至2018年11月15日结束，分二个阶段进行。</w:t>
      </w:r>
    </w:p>
    <w:p>
      <w:pPr>
        <w:autoSpaceDE w:val="0"/>
        <w:snapToGrid w:val="0"/>
        <w:spacing w:after="160" w:line="360" w:lineRule="auto"/>
        <w:ind w:firstLine="646"/>
        <w:rPr>
          <w:rFonts w:ascii="仿宋_GB2312" w:hAnsi="仿宋_GB2312" w:eastAsia="仿宋_GB2312"/>
          <w:sz w:val="32"/>
          <w:szCs w:val="32"/>
        </w:rPr>
      </w:pPr>
      <w:r>
        <w:rPr>
          <w:rFonts w:ascii="楷体" w:hAnsi="楷体" w:eastAsia="楷体"/>
          <w:sz w:val="32"/>
          <w:szCs w:val="32"/>
        </w:rPr>
        <w:t>（一）动员部署阶段（2018年1</w:t>
      </w:r>
      <w:r>
        <w:rPr>
          <w:rFonts w:hint="eastAsia" w:ascii="楷体" w:hAnsi="楷体" w:eastAsia="楷体"/>
          <w:sz w:val="32"/>
          <w:szCs w:val="32"/>
        </w:rPr>
        <w:t>0</w:t>
      </w:r>
      <w:r>
        <w:rPr>
          <w:rFonts w:ascii="楷体" w:hAnsi="楷体" w:eastAsia="楷体"/>
          <w:sz w:val="32"/>
          <w:szCs w:val="32"/>
        </w:rPr>
        <w:t>月</w:t>
      </w:r>
      <w:r>
        <w:rPr>
          <w:rFonts w:hint="eastAsia" w:ascii="楷体" w:hAnsi="楷体" w:eastAsia="楷体"/>
          <w:sz w:val="32"/>
          <w:szCs w:val="32"/>
        </w:rPr>
        <w:t>底</w:t>
      </w:r>
      <w:r>
        <w:rPr>
          <w:rFonts w:ascii="楷体" w:hAnsi="楷体" w:eastAsia="楷体"/>
          <w:sz w:val="32"/>
          <w:szCs w:val="32"/>
        </w:rPr>
        <w:t>前）。</w:t>
      </w:r>
      <w:r>
        <w:rPr>
          <w:rFonts w:ascii="仿宋_GB2312" w:hAnsi="仿宋_GB2312" w:eastAsia="仿宋_GB2312"/>
          <w:sz w:val="32"/>
          <w:szCs w:val="32"/>
        </w:rPr>
        <w:t>各部门要结合本地，本行业实际，制定具体的实施方案，广泛开展宣传，动员各级各单位和广大群众积极参与,明确治理标准、排查重点和整治方法、要求等相关内容。</w:t>
      </w:r>
    </w:p>
    <w:p>
      <w:pPr>
        <w:autoSpaceDE w:val="0"/>
        <w:snapToGrid w:val="0"/>
        <w:spacing w:after="160" w:line="360" w:lineRule="auto"/>
        <w:ind w:firstLine="646"/>
        <w:rPr>
          <w:rFonts w:ascii="仿宋_GB2312" w:hAnsi="仿宋_GB2312" w:eastAsia="仿宋_GB2312"/>
          <w:sz w:val="32"/>
          <w:szCs w:val="32"/>
        </w:rPr>
      </w:pPr>
      <w:r>
        <w:rPr>
          <w:rFonts w:ascii="楷体" w:hAnsi="楷体" w:eastAsia="楷体"/>
          <w:sz w:val="32"/>
          <w:szCs w:val="32"/>
        </w:rPr>
        <w:t>（二）集中整治阶段（2018年11月3日至2018年11月15日）。</w:t>
      </w:r>
      <w:r>
        <w:rPr>
          <w:rFonts w:ascii="仿宋_GB2312" w:hAnsi="仿宋_GB2312" w:eastAsia="仿宋_GB2312"/>
          <w:sz w:val="32"/>
          <w:szCs w:val="32"/>
        </w:rPr>
        <w:t>各部门要按照综合治理工作要求，组成检查组依法开展火灾隐患排查整治，充分利用法律、行政，经济、舆论等手段集中查处非法违法火灾防控行为，集中处理违法责任人，集中督促整改重大火灾安全隐患。</w:t>
      </w:r>
    </w:p>
    <w:p>
      <w:pPr>
        <w:spacing w:before="120" w:after="120" w:line="360" w:lineRule="auto"/>
        <w:ind w:firstLine="640"/>
        <w:rPr>
          <w:rFonts w:ascii="Times New Roman" w:hAnsi="黑体" w:eastAsia="黑体"/>
          <w:sz w:val="32"/>
          <w:szCs w:val="32"/>
        </w:rPr>
      </w:pPr>
      <w:r>
        <w:rPr>
          <w:rFonts w:ascii="Times New Roman" w:hAnsi="黑体" w:eastAsia="黑体"/>
          <w:sz w:val="32"/>
          <w:szCs w:val="32"/>
        </w:rPr>
        <w:t>四、责任分工</w:t>
      </w:r>
    </w:p>
    <w:p>
      <w:pPr>
        <w:spacing w:after="160" w:line="360" w:lineRule="auto"/>
        <w:ind w:firstLine="640"/>
        <w:rPr>
          <w:rFonts w:ascii="Times New Roman" w:hAnsi="仿宋_GB2312" w:eastAsia="仿宋_GB2312"/>
          <w:color w:val="000000"/>
          <w:sz w:val="32"/>
          <w:szCs w:val="32"/>
        </w:rPr>
      </w:pPr>
      <w:r>
        <w:rPr>
          <w:rFonts w:ascii="Times New Roman" w:hAnsi="仿宋_GB2312" w:eastAsia="仿宋_GB2312"/>
          <w:color w:val="000000"/>
          <w:sz w:val="32"/>
          <w:szCs w:val="32"/>
        </w:rPr>
        <w:t>在疃里镇政府统一领导下，坚持政府领导、部门监管、单位负责、综合治理的原则，各有关行业部门按职责具体实施，抓好落实。</w:t>
      </w:r>
    </w:p>
    <w:p>
      <w:pPr>
        <w:spacing w:after="160" w:line="360" w:lineRule="auto"/>
        <w:ind w:firstLine="640"/>
        <w:rPr>
          <w:rFonts w:ascii="Times New Roman" w:hAnsi="仿宋_GB2312" w:eastAsia="仿宋_GB2312"/>
          <w:color w:val="000000"/>
          <w:sz w:val="32"/>
          <w:szCs w:val="32"/>
        </w:rPr>
      </w:pPr>
      <w:r>
        <w:rPr>
          <w:rFonts w:ascii="Times New Roman" w:hAnsi="仿宋_GB2312" w:eastAsia="仿宋_GB2312"/>
          <w:color w:val="000000"/>
          <w:sz w:val="32"/>
          <w:szCs w:val="32"/>
        </w:rPr>
        <w:t>（一）疃里镇成立由镇长杨孔申任组长，副镇长王永茂</w:t>
      </w:r>
      <w:r>
        <w:rPr>
          <w:rFonts w:hint="eastAsia" w:ascii="Times New Roman" w:hAnsi="仿宋_GB2312" w:eastAsia="仿宋_GB2312"/>
          <w:color w:val="000000"/>
          <w:sz w:val="32"/>
          <w:szCs w:val="32"/>
        </w:rPr>
        <w:t>、王文强</w:t>
      </w:r>
      <w:r>
        <w:rPr>
          <w:rFonts w:ascii="Times New Roman" w:hAnsi="仿宋_GB2312" w:eastAsia="仿宋_GB2312"/>
          <w:color w:val="000000"/>
          <w:sz w:val="32"/>
          <w:szCs w:val="32"/>
        </w:rPr>
        <w:t>任副组长，相关部门主要负责人为成员的全镇火灾综合治理工作领导小组(见附件)。</w:t>
      </w:r>
    </w:p>
    <w:p>
      <w:pPr>
        <w:spacing w:after="160" w:line="360" w:lineRule="auto"/>
        <w:ind w:firstLine="640"/>
        <w:rPr>
          <w:rFonts w:ascii="Times New Roman" w:hAnsi="仿宋_GB2312" w:eastAsia="仿宋_GB2312"/>
          <w:color w:val="000000"/>
          <w:sz w:val="32"/>
          <w:szCs w:val="32"/>
        </w:rPr>
      </w:pPr>
      <w:r>
        <w:rPr>
          <w:rFonts w:ascii="Times New Roman" w:hAnsi="仿宋_GB2312" w:eastAsia="仿宋_GB2312"/>
          <w:color w:val="000000"/>
          <w:sz w:val="32"/>
          <w:szCs w:val="32"/>
        </w:rPr>
        <w:t>（二）各有关负有消防安全监管职责的部门依据相关法律法规和职能分工，开展监督检查，督促落实综合治理工作。</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市场监管所依法负责生产领域电器产品质量监管，加大对电器产品及其生产企业的监督检查力度。加强对中国强制性产品认证（CCC）电器产品、生产许可证获证企业的日常监管，严厉查处无证非法生产行为；严厉打击生产假冒伪劣电器产品违法行为，严把电器产品质量源头关。依法负责流通领域电器产品质量监管，加大对电器产品批发市场以及销售门店的监督检查力度。对监管中发现的重大问题，及时发布警示信息，严厉打击销售不合格和无厂名、厂址等来源不明商品违法行为。</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镇建委等负有建设工程质量监管的部门，依法负责督促建设工程设计、施工、监理等单位认真履行职责，严格按照工程建设强制性标准进行电气设计和施工，对发现的隐患和违法违规行为依法予以查处。</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供电所依法负责对电力行业各企业的监管，确保电力供应安全可靠。督促电网企业开展输配电线路和受（送）电设施安全检查，加强安全用电知识教育宣传。</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安监站依法负责危险化学品生产、经营、使用等单位火灾防控监督检查，重点检查生产过程中使用易燃、易爆物品防火措施和成品仓库储存地点的火灾监控报警等防控措施。</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镇派出所依法负责与市场监管所等部门协作配合，对生产、销售假冒伪劣防火、火灾报警产品涉嫌犯罪的，依法追究刑事责任；做好九小场所火灾防控相关工作，依法严厉查处因爆炸物品原因引发火灾的违法行为。</w:t>
      </w:r>
    </w:p>
    <w:p>
      <w:pPr>
        <w:spacing w:after="160" w:line="360" w:lineRule="auto"/>
        <w:ind w:firstLine="640"/>
        <w:jc w:val="left"/>
        <w:rPr>
          <w:rFonts w:ascii="仿宋_GB2312" w:hAnsi="仿宋_GB2312" w:eastAsia="仿宋_GB2312"/>
          <w:sz w:val="32"/>
          <w:szCs w:val="32"/>
        </w:rPr>
      </w:pPr>
      <w:r>
        <w:rPr>
          <w:rFonts w:ascii="仿宋_GB2312" w:hAnsi="仿宋_GB2312" w:eastAsia="仿宋_GB2312"/>
          <w:sz w:val="32"/>
          <w:szCs w:val="32"/>
        </w:rPr>
        <w:t xml:space="preserve">教办依法负责在全镇学校开展一次消防安全专项检查；将消防法律法规、防火灭火知识、火灾逃生技能等消防安全知识纳入教学计划，使学生进一步认识火灾的危害，了解消防器材、设施的使用方法，提高对火灾的防范意识和自救能力。每学期组织一次全校教职工消防安全培训。寒假前认真做好防火工作的宣传教育、火灾隐患的排查和整改。 </w:t>
      </w:r>
    </w:p>
    <w:p>
      <w:pPr>
        <w:spacing w:after="160" w:line="360" w:lineRule="auto"/>
        <w:ind w:firstLine="640"/>
        <w:rPr>
          <w:rFonts w:ascii="仿宋_GB2312" w:hAnsi="仿宋_GB2312" w:eastAsia="仿宋_GB2312"/>
          <w:sz w:val="32"/>
          <w:szCs w:val="32"/>
        </w:rPr>
      </w:pPr>
      <w:r>
        <w:rPr>
          <w:rFonts w:ascii="仿宋_GB2312" w:hAnsi="仿宋_GB2312" w:eastAsia="仿宋_GB2312"/>
          <w:sz w:val="32"/>
          <w:szCs w:val="32"/>
        </w:rPr>
        <w:t>其他各部门，按照各自职责做好监管行业领域综合治理相关工作。</w:t>
      </w:r>
    </w:p>
    <w:p>
      <w:pPr>
        <w:spacing w:before="120" w:after="120" w:line="360" w:lineRule="auto"/>
        <w:ind w:firstLine="640"/>
        <w:rPr>
          <w:rFonts w:ascii="Times New Roman" w:hAnsi="黑体" w:eastAsia="黑体"/>
          <w:sz w:val="32"/>
          <w:szCs w:val="32"/>
        </w:rPr>
      </w:pPr>
      <w:r>
        <w:rPr>
          <w:rFonts w:ascii="Times New Roman" w:hAnsi="黑体" w:eastAsia="黑体"/>
          <w:sz w:val="32"/>
          <w:szCs w:val="32"/>
        </w:rPr>
        <w:t>五、工作要求</w:t>
      </w:r>
    </w:p>
    <w:p>
      <w:pPr>
        <w:spacing w:after="160" w:line="360" w:lineRule="auto"/>
        <w:ind w:firstLine="640"/>
        <w:rPr>
          <w:rFonts w:ascii="仿宋_GB2312" w:hAnsi="仿宋_GB2312" w:eastAsia="仿宋_GB2312"/>
          <w:sz w:val="32"/>
          <w:szCs w:val="32"/>
        </w:rPr>
      </w:pPr>
      <w:r>
        <w:rPr>
          <w:rFonts w:ascii="楷体" w:hAnsi="楷体" w:eastAsia="楷体"/>
          <w:sz w:val="32"/>
          <w:szCs w:val="32"/>
        </w:rPr>
        <w:t>（一）高度重视，落实责任。</w:t>
      </w:r>
      <w:r>
        <w:rPr>
          <w:rFonts w:ascii="仿宋_GB2312" w:hAnsi="仿宋_GB2312" w:eastAsia="仿宋_GB2312"/>
          <w:sz w:val="32"/>
          <w:szCs w:val="32"/>
        </w:rPr>
        <w:t>开展火灾综合治理是贯彻落实习近平总书记关于安全生产工作系列重要讲话精神的重要举措，各部门要高度重视，认真组织开展火灾综合治理，确定重点</w:t>
      </w:r>
      <w:r>
        <w:rPr>
          <w:rFonts w:hint="eastAsia" w:ascii="仿宋_GB2312" w:hAnsi="仿宋_GB2312" w:eastAsia="仿宋_GB2312"/>
          <w:sz w:val="32"/>
          <w:szCs w:val="32"/>
        </w:rPr>
        <w:t>区域</w:t>
      </w:r>
      <w:r>
        <w:rPr>
          <w:rFonts w:ascii="仿宋_GB2312" w:hAnsi="仿宋_GB2312" w:eastAsia="仿宋_GB2312"/>
          <w:sz w:val="32"/>
          <w:szCs w:val="32"/>
        </w:rPr>
        <w:t>和重点环节，务求治理实效。要严格落实防火安全责任制，严密责任链条，织密责任网络，稳步推进综合治理。</w:t>
      </w:r>
    </w:p>
    <w:p>
      <w:pPr>
        <w:spacing w:after="160" w:line="360" w:lineRule="auto"/>
        <w:ind w:firstLine="640"/>
        <w:rPr>
          <w:rFonts w:ascii="仿宋_GB2312" w:hAnsi="仿宋_GB2312" w:eastAsia="仿宋_GB2312"/>
          <w:sz w:val="32"/>
          <w:szCs w:val="32"/>
        </w:rPr>
      </w:pPr>
      <w:r>
        <w:rPr>
          <w:rFonts w:ascii="楷体" w:hAnsi="楷体" w:eastAsia="楷体"/>
          <w:sz w:val="32"/>
          <w:szCs w:val="32"/>
        </w:rPr>
        <w:t>（二）强化协作，形成合力。</w:t>
      </w:r>
      <w:r>
        <w:rPr>
          <w:rFonts w:ascii="仿宋_GB2312" w:hAnsi="仿宋_GB2312" w:eastAsia="仿宋_GB2312"/>
          <w:sz w:val="32"/>
          <w:szCs w:val="32"/>
        </w:rPr>
        <w:t>安委会各成员部门要加强协作配合，联合组织检查、督查，建立健全信息共享、情况通报、联合查处、案件移送机制，对发现的问题要追根溯源、一查到底，及时通报违法违规行为，移送违法违规案件，加强全链条监管，切实形成执法合力。</w:t>
      </w:r>
    </w:p>
    <w:p>
      <w:pPr>
        <w:spacing w:after="160" w:line="360" w:lineRule="auto"/>
        <w:ind w:firstLine="640"/>
        <w:rPr>
          <w:rFonts w:ascii="仿宋_GB2312" w:hAnsi="仿宋_GB2312" w:eastAsia="仿宋_GB2312"/>
          <w:sz w:val="32"/>
          <w:szCs w:val="32"/>
        </w:rPr>
      </w:pPr>
      <w:r>
        <w:rPr>
          <w:rFonts w:ascii="楷体" w:hAnsi="楷体" w:eastAsia="楷体"/>
          <w:sz w:val="32"/>
          <w:szCs w:val="32"/>
        </w:rPr>
        <w:t>（三）广泛宣传，全民参与。</w:t>
      </w:r>
      <w:r>
        <w:rPr>
          <w:rFonts w:ascii="仿宋_GB2312" w:hAnsi="仿宋_GB2312" w:eastAsia="仿宋_GB2312"/>
          <w:sz w:val="32"/>
          <w:szCs w:val="32"/>
        </w:rPr>
        <w:t>各有关行业部门要采取各种有效措施，通过各种形式开展防火的宣传教育，普及火灾防控常识。要积极利用各类媒介，宣传火灾事故教训，引导社会加强舆论监督，推动火灾防控知识提高。鼓励社会单位应用电子联动火灾防控技术，提升对初期火灾状态的监测、预警和处置能力。鼓励群众举报火灾安全隐患，形成全民关注参与火灾综合防治的浓厚氛围。</w:t>
      </w:r>
    </w:p>
    <w:p>
      <w:pPr>
        <w:spacing w:after="160" w:line="360" w:lineRule="auto"/>
        <w:ind w:firstLine="640"/>
        <w:rPr>
          <w:rFonts w:ascii="仿宋_GB2312" w:hAnsi="仿宋_GB2312" w:eastAsia="仿宋_GB2312"/>
          <w:sz w:val="32"/>
          <w:szCs w:val="32"/>
        </w:rPr>
      </w:pPr>
      <w:r>
        <w:rPr>
          <w:rFonts w:ascii="楷体" w:hAnsi="楷体" w:eastAsia="楷体"/>
          <w:sz w:val="32"/>
          <w:szCs w:val="32"/>
        </w:rPr>
        <w:t>（四）强化考核问责，确保问责成效。</w:t>
      </w:r>
      <w:r>
        <w:rPr>
          <w:rFonts w:ascii="仿宋_GB2312" w:hAnsi="仿宋_GB2312" w:eastAsia="仿宋_GB2312"/>
          <w:sz w:val="32"/>
          <w:szCs w:val="32"/>
        </w:rPr>
        <w:t>发现工作进展缓慢、措施落实不到位等问题的，按照有关规定追究有关人员的责任。各有关行业部门，符合《济宁市乡镇、行业监管部门、生产经营单位安全生产重点关注办法》重点关注条件的，进行重点关注。</w:t>
      </w:r>
    </w:p>
    <w:p>
      <w:pPr>
        <w:spacing w:after="160" w:line="360" w:lineRule="auto"/>
        <w:ind w:firstLine="640"/>
        <w:rPr>
          <w:rFonts w:ascii="仿宋_GB2312" w:hAnsi="仿宋_GB2312" w:eastAsia="仿宋_GB2312"/>
          <w:sz w:val="32"/>
          <w:szCs w:val="32"/>
        </w:rPr>
      </w:pPr>
    </w:p>
    <w:p>
      <w:pPr>
        <w:spacing w:after="160" w:line="360" w:lineRule="auto"/>
        <w:ind w:firstLine="640"/>
        <w:rPr>
          <w:rFonts w:ascii="Times New Roman" w:hAnsi="仿宋_GB2312" w:eastAsia="仿宋_GB2312"/>
          <w:sz w:val="32"/>
          <w:szCs w:val="32"/>
        </w:rPr>
      </w:pPr>
    </w:p>
    <w:p>
      <w:pPr>
        <w:spacing w:after="160" w:line="360" w:lineRule="auto"/>
        <w:ind w:firstLine="640"/>
        <w:rPr>
          <w:rFonts w:ascii="Times New Roman" w:hAnsi="仿宋_GB2312" w:eastAsia="仿宋_GB2312"/>
          <w:sz w:val="32"/>
          <w:szCs w:val="32"/>
        </w:rPr>
      </w:pPr>
      <w:r>
        <w:rPr>
          <w:rFonts w:ascii="Times New Roman" w:hAnsi="仿宋_GB2312" w:eastAsia="仿宋_GB2312"/>
          <w:sz w:val="32"/>
          <w:szCs w:val="32"/>
        </w:rPr>
        <w:t>附件1：全区电气火灾综合治理工作领导小组名单</w:t>
      </w:r>
    </w:p>
    <w:p>
      <w:pPr>
        <w:spacing w:after="160" w:line="360" w:lineRule="auto"/>
        <w:ind w:firstLine="640"/>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ind w:firstLine="3520" w:firstLineChars="1100"/>
        <w:rPr>
          <w:rFonts w:ascii="Times New Roman" w:hAnsi="仿宋_GB2312" w:eastAsia="仿宋_GB2312"/>
          <w:sz w:val="32"/>
          <w:szCs w:val="32"/>
        </w:rPr>
      </w:pPr>
      <w:r>
        <w:rPr>
          <w:rFonts w:ascii="Times New Roman" w:hAnsi="仿宋_GB2312" w:eastAsia="仿宋_GB2312"/>
          <w:sz w:val="32"/>
          <w:szCs w:val="32"/>
        </w:rPr>
        <w:t>济宁经济</w:t>
      </w:r>
      <w:r>
        <w:rPr>
          <w:rFonts w:hint="eastAsia" w:ascii="Times New Roman" w:hAnsi="仿宋_GB2312" w:eastAsia="仿宋_GB2312"/>
          <w:sz w:val="32"/>
          <w:szCs w:val="32"/>
          <w:lang w:eastAsia="zh-CN"/>
        </w:rPr>
        <w:t>技术</w:t>
      </w:r>
      <w:r>
        <w:rPr>
          <w:rFonts w:ascii="Times New Roman" w:hAnsi="仿宋_GB2312" w:eastAsia="仿宋_GB2312"/>
          <w:sz w:val="32"/>
          <w:szCs w:val="32"/>
        </w:rPr>
        <w:t>开发区疃里镇人民政府</w:t>
      </w:r>
    </w:p>
    <w:p>
      <w:pPr>
        <w:spacing w:after="160" w:line="360" w:lineRule="auto"/>
        <w:ind w:firstLine="640"/>
        <w:rPr>
          <w:rFonts w:ascii="Times New Roman" w:hAnsi="仿宋_GB2312" w:eastAsia="仿宋_GB2312"/>
          <w:sz w:val="32"/>
          <w:szCs w:val="32"/>
        </w:rPr>
      </w:pPr>
      <w:r>
        <w:rPr>
          <w:rFonts w:ascii="Times New Roman" w:hAnsi="仿宋_GB2312" w:eastAsia="仿宋_GB2312"/>
          <w:sz w:val="32"/>
          <w:szCs w:val="32"/>
        </w:rPr>
        <w:t xml:space="preserve">                          2018年10月30日</w:t>
      </w:r>
    </w:p>
    <w:p>
      <w:pPr>
        <w:spacing w:after="160" w:line="360" w:lineRule="auto"/>
        <w:ind w:right="1120" w:firstLine="640"/>
        <w:jc w:val="left"/>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after="160" w:line="360" w:lineRule="auto"/>
        <w:rPr>
          <w:rFonts w:ascii="Times New Roman" w:hAnsi="仿宋_GB2312" w:eastAsia="仿宋_GB2312"/>
          <w:sz w:val="32"/>
          <w:szCs w:val="32"/>
        </w:rPr>
      </w:pPr>
    </w:p>
    <w:p>
      <w:pPr>
        <w:spacing w:line="600" w:lineRule="exact"/>
        <w:rPr>
          <w:rFonts w:hint="default" w:ascii="Times New Roman" w:hAnsi="Times New Roman" w:cs="Times New Roman"/>
          <w:b/>
          <w:bCs/>
          <w:color w:val="FF0000"/>
          <w:u w:val="single"/>
          <w:lang w:val="en-US" w:eastAsia="zh-CN"/>
        </w:rPr>
      </w:pPr>
      <w:r>
        <w:rPr>
          <w:rFonts w:hint="default" w:ascii="Times New Roman" w:hAnsi="Times New Roman" w:eastAsia="仿宋_GB2312" w:cs="Times New Roman"/>
          <w:b/>
          <w:bCs/>
          <w:sz w:val="32"/>
          <w:szCs w:val="32"/>
          <w:lang w:val="en-US"/>
        </w:rPr>
        <mc:AlternateContent>
          <mc:Choice Requires="wps">
            <w:drawing>
              <wp:anchor distT="0" distB="0" distL="114300" distR="114300" simplePos="0" relativeHeight="251667456" behindDoc="0" locked="0" layoutInCell="1" allowOverlap="1">
                <wp:simplePos x="0" y="0"/>
                <wp:positionH relativeFrom="column">
                  <wp:posOffset>-29210</wp:posOffset>
                </wp:positionH>
                <wp:positionV relativeFrom="paragraph">
                  <wp:posOffset>396240</wp:posOffset>
                </wp:positionV>
                <wp:extent cx="5715000" cy="635"/>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715000" cy="635"/>
                        </a:xfrm>
                        <a:prstGeom prst="straightConnector1">
                          <a:avLst/>
                        </a:prstGeom>
                        <a:ln w="285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3pt;margin-top:31.2pt;height:0.05pt;width:450pt;z-index:251667456;mso-width-relative:page;mso-height-relative:page;" filled="f" stroked="t" coordsize="21600,21600" o:gfxdata="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p+tl2AAAAAgBAAAPAAAAAAAAAAEAIAAAACIAAABkcnMvZG93bnJldi54bWxQSwECFAAUAAAACACH&#10;TuJAOB5VCesBAACvAwAADgAAAAAAAAABACAAAAAnAQAAZHJzL2Uyb0RvYy54bWxQSwUGAAAAAAYA&#10;BgBZAQAAhAUAAAAA&#10;">
                <v:fill on="f" focussize="0,0"/>
                <v:stroke weight="2.25pt" color="#000000" joinstyle="round"/>
                <v:imagedata o:title=""/>
                <o:lock v:ext="edit" aspectratio="f"/>
              </v:shape>
            </w:pict>
          </mc:Fallback>
        </mc:AlternateContent>
      </w:r>
      <w:r>
        <w:rPr>
          <w:rFonts w:hint="default" w:ascii="Times New Roman" w:hAnsi="Times New Roman" w:eastAsia="仿宋_GB2312" w:cs="Times New Roman"/>
          <w:b/>
          <w:bCs/>
          <w:sz w:val="32"/>
          <w:szCs w:val="32"/>
          <w:lang w:val="en-US"/>
        </w:rPr>
        <mc:AlternateContent>
          <mc:Choice Requires="wps">
            <w:drawing>
              <wp:anchor distT="0" distB="0" distL="114300" distR="114300" simplePos="0" relativeHeight="251666432" behindDoc="0" locked="0" layoutInCell="1" allowOverlap="1">
                <wp:simplePos x="0" y="0"/>
                <wp:positionH relativeFrom="column">
                  <wp:posOffset>-29210</wp:posOffset>
                </wp:positionH>
                <wp:positionV relativeFrom="paragraph">
                  <wp:posOffset>91440</wp:posOffset>
                </wp:positionV>
                <wp:extent cx="571500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715000" cy="635"/>
                        </a:xfrm>
                        <a:prstGeom prst="straightConnector1">
                          <a:avLst/>
                        </a:prstGeom>
                        <a:ln w="285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3pt;margin-top:7.2pt;height:0.05pt;width:450pt;z-index:251666432;mso-width-relative:page;mso-height-relative:page;" filled="f" stroked="t" coordsize="21600,21600" o:gfxdata="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M/&#10;tSrYAAAACAEAAA8AAAAAAAAAAQAgAAAAIgAAAGRycy9kb3ducmV2LnhtbFBLAQIUABQAAAAIAIdO&#10;4kAHBBiE6gEAAK8DAAAOAAAAAAAAAAEAIAAAACcBAABkcnMvZTJvRG9jLnhtbFBLBQYAAAAABgAG&#10;AFkBAACDBQAAAAA=&#10;">
                <v:fill on="f" focussize="0,0"/>
                <v:stroke weight="2.25pt" color="#000000" joinstyle="round"/>
                <v:imagedata o:title=""/>
                <o:lock v:ext="edit" aspectratio="f"/>
              </v:shape>
            </w:pict>
          </mc:Fallback>
        </mc:AlternateContent>
      </w:r>
      <w:r>
        <w:rPr>
          <w:rFonts w:hint="default" w:ascii="Times New Roman" w:hAnsi="Times New Roman" w:eastAsia="仿宋_GB2312" w:cs="Times New Roman"/>
          <w:b/>
          <w:bCs/>
          <w:sz w:val="32"/>
          <w:szCs w:val="32"/>
          <w:lang w:val="en-US" w:eastAsia="zh-CN"/>
        </w:rPr>
        <w:t>疃里镇党政办</w:t>
      </w:r>
      <w:r>
        <w:rPr>
          <w:rFonts w:hint="default" w:ascii="Times New Roman" w:hAnsi="Times New Roman" w:eastAsia="仿宋_GB2312" w:cs="Times New Roman"/>
          <w:b/>
          <w:bCs/>
          <w:spacing w:val="-40"/>
          <w:sz w:val="32"/>
          <w:szCs w:val="32"/>
        </w:rPr>
        <w:t xml:space="preserve">                    </w:t>
      </w:r>
      <w:r>
        <w:rPr>
          <w:rFonts w:hint="eastAsia" w:ascii="Times New Roman" w:hAnsi="Times New Roman" w:eastAsia="仿宋_GB2312" w:cs="Times New Roman"/>
          <w:b/>
          <w:bCs/>
          <w:spacing w:val="-40"/>
          <w:sz w:val="32"/>
          <w:szCs w:val="32"/>
          <w:lang w:val="en-US" w:eastAsia="zh-CN"/>
        </w:rPr>
        <w:t xml:space="preserve">    </w:t>
      </w:r>
      <w:r>
        <w:rPr>
          <w:rFonts w:hint="default" w:ascii="Times New Roman" w:hAnsi="Times New Roman" w:eastAsia="仿宋_GB2312" w:cs="Times New Roman"/>
          <w:b/>
          <w:bCs/>
          <w:spacing w:val="-40"/>
          <w:sz w:val="32"/>
          <w:szCs w:val="32"/>
        </w:rPr>
        <w:t xml:space="preserve">                       </w:t>
      </w:r>
      <w:r>
        <w:rPr>
          <w:rFonts w:hint="default" w:ascii="Times New Roman" w:hAnsi="Times New Roman" w:eastAsia="仿宋_GB2312" w:cs="Times New Roman"/>
          <w:b/>
          <w:bCs/>
          <w:sz w:val="32"/>
          <w:szCs w:val="32"/>
        </w:rPr>
        <w:t>2018年</w:t>
      </w:r>
      <w:r>
        <w:rPr>
          <w:rFonts w:hint="eastAsia"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30</w:t>
      </w:r>
      <w:r>
        <w:rPr>
          <w:rFonts w:hint="default" w:ascii="Times New Roman" w:hAnsi="Times New Roman" w:eastAsia="仿宋_GB2312" w:cs="Times New Roman"/>
          <w:b/>
          <w:bCs/>
          <w:sz w:val="32"/>
          <w:szCs w:val="32"/>
        </w:rPr>
        <w:t>日印发</w:t>
      </w:r>
    </w:p>
    <w:p>
      <w:pPr>
        <w:spacing w:after="160" w:line="360" w:lineRule="auto"/>
        <w:rPr>
          <w:rFonts w:ascii="Times New Roman" w:hAnsi="仿宋_GB2312" w:eastAsia="仿宋_GB2312"/>
          <w:sz w:val="32"/>
          <w:szCs w:val="32"/>
        </w:rPr>
      </w:pPr>
      <w:r>
        <w:rPr>
          <w:rFonts w:ascii="Times New Roman" w:hAnsi="仿宋_GB2312" w:eastAsia="仿宋_GB2312"/>
          <w:sz w:val="32"/>
          <w:szCs w:val="32"/>
        </w:rPr>
        <w:t>附件1：</w:t>
      </w:r>
    </w:p>
    <w:p>
      <w:pPr>
        <w:spacing w:before="120" w:after="120" w:line="360" w:lineRule="auto"/>
        <w:jc w:val="center"/>
        <w:rPr>
          <w:rFonts w:ascii="方正大标宋简体" w:hAnsi="方正大标宋简体" w:eastAsia="方正大标宋简体"/>
          <w:color w:val="000000"/>
          <w:sz w:val="44"/>
          <w:szCs w:val="44"/>
        </w:rPr>
      </w:pPr>
      <w:r>
        <w:rPr>
          <w:rFonts w:ascii="仿宋" w:hAnsi="仿宋" w:eastAsia="仿宋"/>
          <w:b/>
          <w:color w:val="000000"/>
          <w:sz w:val="44"/>
          <w:szCs w:val="44"/>
        </w:rPr>
        <w:t>疃里镇火灾综合治理工作领导小组名单</w:t>
      </w:r>
    </w:p>
    <w:p>
      <w:pPr>
        <w:spacing w:before="120" w:after="120" w:line="360" w:lineRule="auto"/>
        <w:jc w:val="center"/>
        <w:rPr>
          <w:rFonts w:ascii="方正大标宋简体" w:hAnsi="方正大标宋简体" w:eastAsia="方正大标宋简体"/>
          <w:sz w:val="32"/>
          <w:szCs w:val="32"/>
        </w:rPr>
      </w:pPr>
    </w:p>
    <w:p>
      <w:pPr>
        <w:spacing w:after="160" w:line="360" w:lineRule="auto"/>
        <w:ind w:firstLine="640"/>
        <w:rPr>
          <w:rFonts w:hint="eastAsia" w:ascii="Times New Roman" w:hAnsi="仿宋_GB2312" w:eastAsia="仿宋_GB2312"/>
          <w:color w:val="000000"/>
          <w:sz w:val="32"/>
          <w:szCs w:val="32"/>
        </w:rPr>
      </w:pPr>
      <w:r>
        <w:rPr>
          <w:rFonts w:ascii="黑体" w:hAnsi="黑体" w:eastAsia="黑体"/>
          <w:color w:val="000000"/>
          <w:sz w:val="32"/>
          <w:szCs w:val="32"/>
        </w:rPr>
        <w:t>组    长：</w:t>
      </w:r>
      <w:r>
        <w:rPr>
          <w:rFonts w:ascii="Times New Roman" w:hAnsi="仿宋_GB2312" w:eastAsia="仿宋_GB2312"/>
          <w:color w:val="000000"/>
          <w:sz w:val="32"/>
          <w:szCs w:val="32"/>
        </w:rPr>
        <w:t xml:space="preserve">  杨孔申 </w:t>
      </w:r>
      <w:r>
        <w:rPr>
          <w:rFonts w:hint="eastAsia" w:ascii="Times New Roman" w:hAnsi="仿宋_GB2312" w:eastAsia="仿宋_GB2312"/>
          <w:color w:val="000000"/>
          <w:sz w:val="32"/>
          <w:szCs w:val="32"/>
        </w:rPr>
        <w:t xml:space="preserve"> 党委副书记、</w:t>
      </w:r>
      <w:r>
        <w:rPr>
          <w:rFonts w:ascii="Times New Roman" w:hAnsi="仿宋_GB2312" w:eastAsia="仿宋_GB2312"/>
          <w:color w:val="000000"/>
          <w:sz w:val="32"/>
          <w:szCs w:val="32"/>
        </w:rPr>
        <w:t xml:space="preserve"> 镇长</w:t>
      </w:r>
    </w:p>
    <w:p>
      <w:pPr>
        <w:spacing w:after="160" w:line="360" w:lineRule="auto"/>
        <w:ind w:firstLine="640"/>
        <w:rPr>
          <w:rFonts w:ascii="Times New Roman" w:hAnsi="仿宋_GB2312" w:eastAsia="仿宋_GB2312"/>
          <w:color w:val="000000"/>
          <w:sz w:val="32"/>
          <w:szCs w:val="32"/>
        </w:rPr>
      </w:pPr>
      <w:r>
        <w:rPr>
          <w:rFonts w:ascii="黑体" w:hAnsi="黑体" w:eastAsia="黑体"/>
          <w:color w:val="000000"/>
          <w:sz w:val="32"/>
          <w:szCs w:val="32"/>
        </w:rPr>
        <w:t>副 组 长：</w:t>
      </w:r>
      <w:r>
        <w:rPr>
          <w:rFonts w:ascii="Times New Roman" w:hAnsi="仿宋_GB2312" w:eastAsia="仿宋_GB2312"/>
          <w:color w:val="000000"/>
          <w:sz w:val="32"/>
          <w:szCs w:val="32"/>
        </w:rPr>
        <w:t xml:space="preserve">  王永茂  </w:t>
      </w:r>
      <w:r>
        <w:rPr>
          <w:rFonts w:hint="eastAsia" w:ascii="Times New Roman" w:hAnsi="仿宋_GB2312" w:eastAsia="仿宋_GB2312"/>
          <w:color w:val="000000"/>
          <w:sz w:val="32"/>
          <w:szCs w:val="32"/>
        </w:rPr>
        <w:t>党委委员、</w:t>
      </w:r>
      <w:r>
        <w:rPr>
          <w:rFonts w:ascii="Times New Roman" w:hAnsi="仿宋_GB2312" w:eastAsia="仿宋_GB2312"/>
          <w:color w:val="000000"/>
          <w:sz w:val="32"/>
          <w:szCs w:val="32"/>
        </w:rPr>
        <w:t>副镇长</w:t>
      </w:r>
    </w:p>
    <w:p>
      <w:pPr>
        <w:spacing w:after="160" w:line="360" w:lineRule="auto"/>
        <w:ind w:firstLine="640"/>
        <w:rPr>
          <w:rFonts w:ascii="Times New Roman" w:hAnsi="仿宋_GB2312" w:eastAsia="仿宋_GB2312"/>
          <w:color w:val="000000"/>
          <w:sz w:val="32"/>
          <w:szCs w:val="32"/>
        </w:rPr>
      </w:pPr>
      <w:r>
        <w:rPr>
          <w:rFonts w:hint="eastAsia" w:ascii="Times New Roman" w:hAnsi="仿宋_GB2312" w:eastAsia="仿宋_GB2312"/>
          <w:color w:val="000000"/>
          <w:sz w:val="32"/>
          <w:szCs w:val="32"/>
        </w:rPr>
        <w:t xml:space="preserve">            王文强  副镇长</w:t>
      </w:r>
    </w:p>
    <w:p>
      <w:pPr>
        <w:spacing w:after="160" w:line="360" w:lineRule="auto"/>
        <w:ind w:firstLine="640"/>
        <w:rPr>
          <w:rFonts w:hint="eastAsia" w:ascii="Times New Roman" w:hAnsi="仿宋_GB2312" w:eastAsia="仿宋_GB2312"/>
          <w:color w:val="000000"/>
          <w:sz w:val="32"/>
          <w:szCs w:val="32"/>
        </w:rPr>
      </w:pPr>
      <w:r>
        <w:rPr>
          <w:rFonts w:ascii="黑体" w:hAnsi="黑体" w:eastAsia="黑体"/>
          <w:color w:val="000000"/>
          <w:sz w:val="32"/>
          <w:szCs w:val="32"/>
        </w:rPr>
        <w:t xml:space="preserve">成    员： </w:t>
      </w:r>
      <w:r>
        <w:rPr>
          <w:rFonts w:hint="eastAsia" w:ascii="Times New Roman" w:hAnsi="仿宋_GB2312" w:eastAsia="仿宋_GB2312"/>
          <w:color w:val="000000"/>
          <w:sz w:val="32"/>
          <w:szCs w:val="32"/>
        </w:rPr>
        <w:t>刘永军  纪委书记</w:t>
      </w:r>
      <w:r>
        <w:rPr>
          <w:rFonts w:ascii="Times New Roman" w:hAnsi="仿宋_GB2312" w:eastAsia="仿宋_GB2312"/>
          <w:color w:val="000000"/>
          <w:sz w:val="32"/>
          <w:szCs w:val="32"/>
        </w:rPr>
        <w:t xml:space="preserve"> </w:t>
      </w:r>
    </w:p>
    <w:p>
      <w:pPr>
        <w:spacing w:after="160" w:line="360" w:lineRule="auto"/>
        <w:ind w:firstLine="2400" w:firstLineChars="7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冯贵龙  副科级干部、建委主任</w:t>
      </w:r>
    </w:p>
    <w:p>
      <w:pPr>
        <w:spacing w:after="160" w:line="360" w:lineRule="auto"/>
        <w:ind w:firstLine="2400" w:firstLineChars="7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梁玉峰  疃里派出所长</w:t>
      </w:r>
    </w:p>
    <w:p>
      <w:pPr>
        <w:spacing w:after="160" w:line="360" w:lineRule="auto"/>
        <w:ind w:firstLine="2400" w:firstLineChars="7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闫忠诚  经开区派出所长</w:t>
      </w:r>
    </w:p>
    <w:p>
      <w:pPr>
        <w:spacing w:after="160" w:line="360" w:lineRule="auto"/>
        <w:ind w:firstLine="2400" w:firstLineChars="7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孙端洋  新挑河派出所长</w:t>
      </w:r>
    </w:p>
    <w:p>
      <w:pPr>
        <w:spacing w:after="160" w:line="360" w:lineRule="auto"/>
        <w:ind w:firstLine="2400" w:firstLineChars="7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梁玉房  安监站长</w:t>
      </w:r>
    </w:p>
    <w:p>
      <w:pPr>
        <w:spacing w:after="160" w:line="360" w:lineRule="auto"/>
        <w:ind w:firstLine="2400" w:firstLineChars="7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楚国华  供电站站长</w:t>
      </w:r>
    </w:p>
    <w:p>
      <w:pPr>
        <w:spacing w:after="160" w:line="360" w:lineRule="auto"/>
        <w:ind w:firstLine="2400" w:firstLineChars="7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高拥军  教办主任</w:t>
      </w:r>
    </w:p>
    <w:p>
      <w:pPr>
        <w:spacing w:after="160" w:line="360" w:lineRule="auto"/>
        <w:ind w:firstLine="2400" w:firstLineChars="7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满代军  杨李服务区书记、办公室主任</w:t>
      </w:r>
    </w:p>
    <w:p>
      <w:pPr>
        <w:spacing w:after="160" w:line="360" w:lineRule="auto"/>
        <w:ind w:firstLine="2400" w:firstLineChars="7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朱建鲁  疃里服务区书记</w:t>
      </w:r>
    </w:p>
    <w:p>
      <w:pPr>
        <w:spacing w:after="160" w:line="360" w:lineRule="auto"/>
        <w:ind w:firstLine="2240" w:firstLineChars="70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安心建  王集服务区书记</w:t>
      </w:r>
    </w:p>
    <w:p>
      <w:pPr>
        <w:spacing w:after="160" w:line="360" w:lineRule="auto"/>
        <w:ind w:firstLine="2080" w:firstLineChars="6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杨庆华  大王服务区书记</w:t>
      </w:r>
    </w:p>
    <w:p>
      <w:pPr>
        <w:spacing w:after="160" w:line="360" w:lineRule="auto"/>
        <w:ind w:firstLine="2080" w:firstLineChars="6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阮久冰  新河服务区书记</w:t>
      </w:r>
    </w:p>
    <w:p>
      <w:pPr>
        <w:spacing w:after="160" w:line="360" w:lineRule="auto"/>
        <w:ind w:firstLine="2080" w:firstLineChars="6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高守尚  盛庄服务区书记</w:t>
      </w:r>
    </w:p>
    <w:p>
      <w:pPr>
        <w:spacing w:after="160" w:line="360" w:lineRule="auto"/>
        <w:ind w:firstLine="2080" w:firstLineChars="6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张  泽  河东服务区书记</w:t>
      </w:r>
    </w:p>
    <w:p>
      <w:pPr>
        <w:spacing w:after="160" w:line="360" w:lineRule="auto"/>
        <w:ind w:firstLine="2080" w:firstLineChars="6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陈宣起  进士张服务区书记</w:t>
      </w:r>
    </w:p>
    <w:p>
      <w:pPr>
        <w:spacing w:after="160" w:line="360" w:lineRule="auto"/>
        <w:ind w:firstLine="2080" w:firstLineChars="6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王  建  狄家服务区主任</w:t>
      </w:r>
    </w:p>
    <w:p>
      <w:pPr>
        <w:spacing w:after="160" w:line="360" w:lineRule="auto"/>
        <w:ind w:firstLine="2080" w:firstLineChars="65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陈维建  高庙服务区主任</w:t>
      </w:r>
    </w:p>
    <w:p>
      <w:pPr>
        <w:spacing w:after="160" w:line="360" w:lineRule="auto"/>
        <w:ind w:firstLine="640"/>
        <w:rPr>
          <w:rFonts w:hint="eastAsia" w:ascii="Times New Roman" w:hAnsi="仿宋_GB2312" w:eastAsia="仿宋_GB2312"/>
          <w:color w:val="000000"/>
          <w:sz w:val="32"/>
          <w:szCs w:val="32"/>
        </w:rPr>
      </w:pPr>
      <w:r>
        <w:rPr>
          <w:rFonts w:hint="eastAsia" w:ascii="Times New Roman" w:hAnsi="仿宋_GB2312" w:eastAsia="仿宋_GB2312"/>
          <w:color w:val="000000"/>
          <w:sz w:val="32"/>
          <w:szCs w:val="32"/>
        </w:rPr>
        <w:t>领导小组下设办公室，办公室设在安监站，副镇长王文强（小）兼任办公室主任，具体协调、调度火灾综合治理工作。</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b/>
          <w:bCs/>
          <w:sz w:val="32"/>
          <w:szCs w:val="32"/>
        </w:rPr>
      </w:pPr>
    </w:p>
    <w:p>
      <w:pPr>
        <w:spacing w:line="560" w:lineRule="exact"/>
        <w:rPr>
          <w:rFonts w:hint="default" w:ascii="Times New Roman" w:hAnsi="Times New Roman" w:eastAsia="仿宋_GB2312" w:cs="Times New Roman"/>
          <w:b/>
          <w:bCs/>
          <w:sz w:val="32"/>
          <w:szCs w:val="32"/>
          <w:lang w:val="en-US" w:eastAsia="zh-CN"/>
        </w:rPr>
      </w:pPr>
    </w:p>
    <w:sectPr>
      <w:footerReference r:id="rId3" w:type="default"/>
      <w:pgSz w:w="11906" w:h="16838"/>
      <w:pgMar w:top="2098" w:right="1531" w:bottom="2098" w:left="1531" w:header="851" w:footer="992"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hakuyoxingshu7000"/>
    <w:panose1 w:val="00000000000000000000"/>
    <w:charset w:val="00"/>
    <w:family w:val="auto"/>
    <w:pitch w:val="default"/>
    <w:sig w:usb0="00000000" w:usb1="00000000" w:usb2="00000000" w:usb3="00000000" w:csb0="FFFFFFFF" w:csb1="00000000"/>
  </w:font>
  <w:font w:name="方正大标宋简体">
    <w:altName w:val="微软雅黑"/>
    <w:panose1 w:val="00000000000000000000"/>
    <w:charset w:val="00"/>
    <w:family w:val="auto"/>
    <w:pitch w:val="default"/>
    <w:sig w:usb0="00000000" w:usb1="00000000" w:usb2="00000000" w:usb3="00000000" w:csb0="FFFFFF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imes New Roman" w:hAnsi="Times New Roman" w:eastAsia="宋体"/>
                              <w:b w:val="0"/>
                              <w:w w:val="100"/>
                              <w:sz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val="en-US" w:eastAsia="zh-CN"/>
                            </w:rPr>
                            <w:t xml:space="preserve"> </w:t>
                          </w:r>
                          <w:r>
                            <w:rPr>
                              <w:rFonts w:hint="eastAsia" w:ascii="Times New Roman" w:hAnsi="Times New Roman" w:eastAsia="宋体"/>
                              <w:b w:val="0"/>
                              <w:w w:val="100"/>
                              <w:sz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pPr>
                    <w:r>
                      <w:rPr>
                        <w:rFonts w:hint="eastAsia" w:ascii="Times New Roman" w:hAnsi="Times New Roman" w:eastAsia="宋体"/>
                        <w:b w:val="0"/>
                        <w:w w:val="100"/>
                        <w:sz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val="en-US" w:eastAsia="zh-CN"/>
                      </w:rPr>
                      <w:t xml:space="preserve"> </w:t>
                    </w:r>
                    <w:r>
                      <w:rPr>
                        <w:rFonts w:hint="eastAsia" w:ascii="Times New Roman" w:hAnsi="Times New Roman" w:eastAsia="宋体"/>
                        <w:b w:val="0"/>
                        <w:w w:val="100"/>
                        <w:sz w:val="28"/>
                        <w:lang w:eastAsia="zh-CN"/>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E4BE9"/>
    <w:rsid w:val="079E5EF3"/>
    <w:rsid w:val="0AD347AE"/>
    <w:rsid w:val="0B371C2D"/>
    <w:rsid w:val="0FDB6171"/>
    <w:rsid w:val="17633B7F"/>
    <w:rsid w:val="19361499"/>
    <w:rsid w:val="1A160E6D"/>
    <w:rsid w:val="24082192"/>
    <w:rsid w:val="25FD42A8"/>
    <w:rsid w:val="268357CD"/>
    <w:rsid w:val="29B54BC6"/>
    <w:rsid w:val="2D5D61D7"/>
    <w:rsid w:val="3046637C"/>
    <w:rsid w:val="348C5E3B"/>
    <w:rsid w:val="35A7171D"/>
    <w:rsid w:val="35E34A23"/>
    <w:rsid w:val="391F6C6E"/>
    <w:rsid w:val="3A340CAE"/>
    <w:rsid w:val="3C7D5AA3"/>
    <w:rsid w:val="3D831D6C"/>
    <w:rsid w:val="3F07750B"/>
    <w:rsid w:val="412E59E6"/>
    <w:rsid w:val="44527AD1"/>
    <w:rsid w:val="46855842"/>
    <w:rsid w:val="4BCE60BE"/>
    <w:rsid w:val="4D6E0E52"/>
    <w:rsid w:val="4E307B8F"/>
    <w:rsid w:val="4F331DD3"/>
    <w:rsid w:val="51E21ECA"/>
    <w:rsid w:val="546C77A6"/>
    <w:rsid w:val="55F70D62"/>
    <w:rsid w:val="5B836824"/>
    <w:rsid w:val="63B268E0"/>
    <w:rsid w:val="68F933B9"/>
    <w:rsid w:val="69456450"/>
    <w:rsid w:val="6A7D1495"/>
    <w:rsid w:val="6BFE497D"/>
    <w:rsid w:val="6F136F45"/>
    <w:rsid w:val="6FF12BC0"/>
    <w:rsid w:val="73E15850"/>
    <w:rsid w:val="773B320F"/>
    <w:rsid w:val="78010776"/>
    <w:rsid w:val="7810713C"/>
    <w:rsid w:val="7DC056BA"/>
    <w:rsid w:val="7EF9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styleId="7">
    <w:name w:val="No Spacing"/>
    <w:qFormat/>
    <w:uiPriority w:val="99"/>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2018-11-03T02:13:52Z</cp:lastPrinted>
  <dcterms:modified xsi:type="dcterms:W3CDTF">2018-11-03T02:16:04Z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